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42D3" w14:textId="1861CC7E" w:rsidR="00ED6945" w:rsidRDefault="00F110C5" w:rsidP="00ED6945">
      <w:pPr>
        <w:jc w:val="center"/>
        <w:rPr>
          <w:bCs/>
          <w:lang w:val="lv-LV"/>
        </w:rPr>
      </w:pPr>
      <w:r>
        <w:rPr>
          <w:noProof/>
          <w:lang w:val="lv-LV" w:eastAsia="lv-LV"/>
        </w:rPr>
        <w:drawing>
          <wp:anchor distT="0" distB="0" distL="114300" distR="114300" simplePos="0" relativeHeight="251664384" behindDoc="0" locked="0" layoutInCell="1" allowOverlap="1" wp14:anchorId="0086B47C" wp14:editId="3EE0669E">
            <wp:simplePos x="0" y="0"/>
            <wp:positionH relativeFrom="column">
              <wp:posOffset>3477260</wp:posOffset>
            </wp:positionH>
            <wp:positionV relativeFrom="paragraph">
              <wp:posOffset>200660</wp:posOffset>
            </wp:positionV>
            <wp:extent cx="649605" cy="6553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 cy="655320"/>
                    </a:xfrm>
                    <a:prstGeom prst="rect">
                      <a:avLst/>
                    </a:prstGeom>
                    <a:noFill/>
                  </pic:spPr>
                </pic:pic>
              </a:graphicData>
            </a:graphic>
            <wp14:sizeRelH relativeFrom="page">
              <wp14:pctWidth>0</wp14:pctWidth>
            </wp14:sizeRelH>
            <wp14:sizeRelV relativeFrom="page">
              <wp14:pctHeight>0</wp14:pctHeight>
            </wp14:sizeRelV>
          </wp:anchor>
        </w:drawing>
      </w:r>
      <w:r w:rsidR="00447028">
        <w:rPr>
          <w:noProof/>
          <w:lang w:val="lv-LV" w:eastAsia="lv-LV"/>
        </w:rPr>
        <w:drawing>
          <wp:anchor distT="0" distB="0" distL="114300" distR="114300" simplePos="0" relativeHeight="251685888" behindDoc="0" locked="0" layoutInCell="1" allowOverlap="1" wp14:anchorId="6A08E264" wp14:editId="5EF1572C">
            <wp:simplePos x="0" y="0"/>
            <wp:positionH relativeFrom="column">
              <wp:posOffset>5614670</wp:posOffset>
            </wp:positionH>
            <wp:positionV relativeFrom="paragraph">
              <wp:posOffset>207726</wp:posOffset>
            </wp:positionV>
            <wp:extent cx="676656" cy="67665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656" cy="676656"/>
                    </a:xfrm>
                    <a:prstGeom prst="rect">
                      <a:avLst/>
                    </a:prstGeom>
                  </pic:spPr>
                </pic:pic>
              </a:graphicData>
            </a:graphic>
            <wp14:sizeRelH relativeFrom="margin">
              <wp14:pctWidth>0</wp14:pctWidth>
            </wp14:sizeRelH>
            <wp14:sizeRelV relativeFrom="margin">
              <wp14:pctHeight>0</wp14:pctHeight>
            </wp14:sizeRelV>
          </wp:anchor>
        </w:drawing>
      </w:r>
      <w:r w:rsidR="00447028">
        <w:rPr>
          <w:noProof/>
          <w:lang w:val="lv-LV" w:eastAsia="lv-LV"/>
        </w:rPr>
        <w:drawing>
          <wp:anchor distT="0" distB="0" distL="114300" distR="114300" simplePos="0" relativeHeight="251667456" behindDoc="0" locked="0" layoutInCell="1" allowOverlap="1" wp14:anchorId="60D952C8" wp14:editId="5574431B">
            <wp:simplePos x="0" y="0"/>
            <wp:positionH relativeFrom="column">
              <wp:posOffset>-205400</wp:posOffset>
            </wp:positionH>
            <wp:positionV relativeFrom="paragraph">
              <wp:posOffset>151121</wp:posOffset>
            </wp:positionV>
            <wp:extent cx="740664" cy="758952"/>
            <wp:effectExtent l="0" t="0" r="254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0664" cy="758952"/>
                    </a:xfrm>
                    <a:prstGeom prst="rect">
                      <a:avLst/>
                    </a:prstGeom>
                    <a:noFill/>
                  </pic:spPr>
                </pic:pic>
              </a:graphicData>
            </a:graphic>
            <wp14:sizeRelH relativeFrom="page">
              <wp14:pctWidth>0</wp14:pctWidth>
            </wp14:sizeRelH>
            <wp14:sizeRelV relativeFrom="page">
              <wp14:pctHeight>0</wp14:pctHeight>
            </wp14:sizeRelV>
          </wp:anchor>
        </w:drawing>
      </w:r>
      <w:r w:rsidR="005C1D69">
        <w:rPr>
          <w:bCs/>
          <w:noProof/>
          <w:lang w:val="lv-LV" w:eastAsia="lv-LV"/>
        </w:rPr>
        <w:drawing>
          <wp:anchor distT="0" distB="0" distL="114300" distR="114300" simplePos="0" relativeHeight="251687936" behindDoc="0" locked="0" layoutInCell="1" allowOverlap="1" wp14:anchorId="4B4E4D03" wp14:editId="726D8F45">
            <wp:simplePos x="0" y="0"/>
            <wp:positionH relativeFrom="column">
              <wp:posOffset>4653059</wp:posOffset>
            </wp:positionH>
            <wp:positionV relativeFrom="paragraph">
              <wp:posOffset>141853</wp:posOffset>
            </wp:positionV>
            <wp:extent cx="622800" cy="6912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YMPqkccCOPPjR7rFIi6-DLknGDi1n4s9dSsOhwOXd_aikFI0A6mXvsDd4OAVqP0.png"/>
                    <pic:cNvPicPr/>
                  </pic:nvPicPr>
                  <pic:blipFill>
                    <a:blip r:embed="rId10">
                      <a:extLst>
                        <a:ext uri="{28A0092B-C50C-407E-A947-70E740481C1C}">
                          <a14:useLocalDpi xmlns:a14="http://schemas.microsoft.com/office/drawing/2010/main" val="0"/>
                        </a:ext>
                      </a:extLst>
                    </a:blip>
                    <a:stretch>
                      <a:fillRect/>
                    </a:stretch>
                  </pic:blipFill>
                  <pic:spPr>
                    <a:xfrm>
                      <a:off x="0" y="0"/>
                      <a:ext cx="622800" cy="691200"/>
                    </a:xfrm>
                    <a:prstGeom prst="rect">
                      <a:avLst/>
                    </a:prstGeom>
                  </pic:spPr>
                </pic:pic>
              </a:graphicData>
            </a:graphic>
            <wp14:sizeRelH relativeFrom="margin">
              <wp14:pctWidth>0</wp14:pctWidth>
            </wp14:sizeRelH>
            <wp14:sizeRelV relativeFrom="margin">
              <wp14:pctHeight>0</wp14:pctHeight>
            </wp14:sizeRelV>
          </wp:anchor>
        </w:drawing>
      </w:r>
      <w:r w:rsidR="005C1D69">
        <w:rPr>
          <w:noProof/>
          <w:lang w:val="lv-LV" w:eastAsia="lv-LV"/>
        </w:rPr>
        <w:drawing>
          <wp:anchor distT="0" distB="0" distL="114300" distR="114300" simplePos="0" relativeHeight="251663360" behindDoc="0" locked="0" layoutInCell="1" allowOverlap="1" wp14:anchorId="2CBD70A5" wp14:editId="141A241A">
            <wp:simplePos x="0" y="0"/>
            <wp:positionH relativeFrom="column">
              <wp:posOffset>2074688</wp:posOffset>
            </wp:positionH>
            <wp:positionV relativeFrom="paragraph">
              <wp:posOffset>255477</wp:posOffset>
            </wp:positionV>
            <wp:extent cx="788670" cy="5740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t="-12105" r="63696"/>
                    <a:stretch>
                      <a:fillRect/>
                    </a:stretch>
                  </pic:blipFill>
                  <pic:spPr bwMode="auto">
                    <a:xfrm>
                      <a:off x="0" y="0"/>
                      <a:ext cx="788670" cy="574040"/>
                    </a:xfrm>
                    <a:prstGeom prst="rect">
                      <a:avLst/>
                    </a:prstGeom>
                    <a:noFill/>
                  </pic:spPr>
                </pic:pic>
              </a:graphicData>
            </a:graphic>
            <wp14:sizeRelH relativeFrom="page">
              <wp14:pctWidth>0</wp14:pctWidth>
            </wp14:sizeRelH>
            <wp14:sizeRelV relativeFrom="page">
              <wp14:pctHeight>0</wp14:pctHeight>
            </wp14:sizeRelV>
          </wp:anchor>
        </w:drawing>
      </w:r>
      <w:r w:rsidR="005C1D69">
        <w:rPr>
          <w:noProof/>
          <w:lang w:val="lv-LV" w:eastAsia="lv-LV"/>
        </w:rPr>
        <w:drawing>
          <wp:anchor distT="0" distB="0" distL="114300" distR="114300" simplePos="0" relativeHeight="251662336" behindDoc="0" locked="0" layoutInCell="1" allowOverlap="1" wp14:anchorId="15A61D23" wp14:editId="6B5BB87C">
            <wp:simplePos x="0" y="0"/>
            <wp:positionH relativeFrom="column">
              <wp:posOffset>997650</wp:posOffset>
            </wp:positionH>
            <wp:positionV relativeFrom="paragraph">
              <wp:posOffset>109712</wp:posOffset>
            </wp:positionV>
            <wp:extent cx="602615" cy="723265"/>
            <wp:effectExtent l="0" t="0" r="6985"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615" cy="723265"/>
                    </a:xfrm>
                    <a:prstGeom prst="rect">
                      <a:avLst/>
                    </a:prstGeom>
                    <a:noFill/>
                  </pic:spPr>
                </pic:pic>
              </a:graphicData>
            </a:graphic>
            <wp14:sizeRelH relativeFrom="page">
              <wp14:pctWidth>0</wp14:pctWidth>
            </wp14:sizeRelH>
            <wp14:sizeRelV relativeFrom="page">
              <wp14:pctHeight>0</wp14:pctHeight>
            </wp14:sizeRelV>
          </wp:anchor>
        </w:drawing>
      </w:r>
    </w:p>
    <w:p w14:paraId="5F7A9315" w14:textId="25A4D730" w:rsidR="00ED6945" w:rsidRDefault="00ED6945" w:rsidP="00ED6945">
      <w:pPr>
        <w:jc w:val="center"/>
        <w:rPr>
          <w:bCs/>
          <w:lang w:val="lv-LV"/>
        </w:rPr>
      </w:pPr>
    </w:p>
    <w:p w14:paraId="7C69852F" w14:textId="0714F156" w:rsidR="00ED6945" w:rsidRDefault="00ED6945" w:rsidP="00ED6945">
      <w:pPr>
        <w:jc w:val="center"/>
        <w:rPr>
          <w:bCs/>
          <w:lang w:val="lv-LV"/>
        </w:rPr>
      </w:pPr>
    </w:p>
    <w:p w14:paraId="7727663D" w14:textId="51710F4D" w:rsidR="00ED6945" w:rsidRDefault="006D11FE" w:rsidP="00ED6945">
      <w:pPr>
        <w:jc w:val="center"/>
        <w:rPr>
          <w:bCs/>
          <w:lang w:val="lv-LV"/>
        </w:rPr>
      </w:pPr>
      <w:r>
        <w:rPr>
          <w:bCs/>
          <w:noProof/>
          <w:lang w:val="lv-LV" w:eastAsia="lv-LV"/>
        </w:rPr>
        <w:drawing>
          <wp:anchor distT="0" distB="0" distL="114300" distR="114300" simplePos="0" relativeHeight="251675648" behindDoc="0" locked="0" layoutInCell="1" allowOverlap="1" wp14:anchorId="3C470541" wp14:editId="2E3DB6DB">
            <wp:simplePos x="0" y="0"/>
            <wp:positionH relativeFrom="column">
              <wp:posOffset>1444625</wp:posOffset>
            </wp:positionH>
            <wp:positionV relativeFrom="paragraph">
              <wp:posOffset>55880</wp:posOffset>
            </wp:positionV>
            <wp:extent cx="711200" cy="701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Kharkiv_National_University_of_Economic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1200" cy="701040"/>
                    </a:xfrm>
                    <a:prstGeom prst="rect">
                      <a:avLst/>
                    </a:prstGeom>
                  </pic:spPr>
                </pic:pic>
              </a:graphicData>
            </a:graphic>
            <wp14:sizeRelH relativeFrom="margin">
              <wp14:pctWidth>0</wp14:pctWidth>
            </wp14:sizeRelH>
            <wp14:sizeRelV relativeFrom="margin">
              <wp14:pctHeight>0</wp14:pctHeight>
            </wp14:sizeRelV>
          </wp:anchor>
        </w:drawing>
      </w:r>
      <w:r w:rsidR="002C0497">
        <w:rPr>
          <w:bCs/>
          <w:noProof/>
          <w:lang w:val="lv-LV" w:eastAsia="lv-LV"/>
        </w:rPr>
        <w:drawing>
          <wp:anchor distT="0" distB="0" distL="114300" distR="114300" simplePos="0" relativeHeight="251688960" behindDoc="0" locked="0" layoutInCell="1" allowOverlap="1" wp14:anchorId="30173D60" wp14:editId="36F0E6B7">
            <wp:simplePos x="0" y="0"/>
            <wp:positionH relativeFrom="column">
              <wp:posOffset>286385</wp:posOffset>
            </wp:positionH>
            <wp:positionV relativeFrom="paragraph">
              <wp:posOffset>89535</wp:posOffset>
            </wp:positionV>
            <wp:extent cx="763200" cy="633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NKO logo skaidru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3200" cy="633600"/>
                    </a:xfrm>
                    <a:prstGeom prst="rect">
                      <a:avLst/>
                    </a:prstGeom>
                  </pic:spPr>
                </pic:pic>
              </a:graphicData>
            </a:graphic>
            <wp14:sizeRelH relativeFrom="margin">
              <wp14:pctWidth>0</wp14:pctWidth>
            </wp14:sizeRelH>
            <wp14:sizeRelV relativeFrom="margin">
              <wp14:pctHeight>0</wp14:pctHeight>
            </wp14:sizeRelV>
          </wp:anchor>
        </w:drawing>
      </w:r>
      <w:r w:rsidR="005C1D69">
        <w:rPr>
          <w:noProof/>
          <w:lang w:val="lv-LV" w:eastAsia="lv-LV"/>
        </w:rPr>
        <w:drawing>
          <wp:anchor distT="0" distB="0" distL="114300" distR="114300" simplePos="0" relativeHeight="251665408" behindDoc="0" locked="0" layoutInCell="1" allowOverlap="1" wp14:anchorId="50FFEC41" wp14:editId="5D74A362">
            <wp:simplePos x="0" y="0"/>
            <wp:positionH relativeFrom="column">
              <wp:posOffset>5171363</wp:posOffset>
            </wp:positionH>
            <wp:positionV relativeFrom="paragraph">
              <wp:posOffset>90598</wp:posOffset>
            </wp:positionV>
            <wp:extent cx="585470" cy="596900"/>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5470" cy="596900"/>
                    </a:xfrm>
                    <a:prstGeom prst="rect">
                      <a:avLst/>
                    </a:prstGeom>
                    <a:noFill/>
                  </pic:spPr>
                </pic:pic>
              </a:graphicData>
            </a:graphic>
            <wp14:sizeRelH relativeFrom="page">
              <wp14:pctWidth>0</wp14:pctWidth>
            </wp14:sizeRelH>
            <wp14:sizeRelV relativeFrom="page">
              <wp14:pctHeight>0</wp14:pctHeight>
            </wp14:sizeRelV>
          </wp:anchor>
        </w:drawing>
      </w:r>
      <w:r w:rsidR="005C1D69">
        <w:rPr>
          <w:noProof/>
          <w:lang w:val="lv-LV" w:eastAsia="lv-LV"/>
        </w:rPr>
        <w:drawing>
          <wp:anchor distT="0" distB="0" distL="114300" distR="114300" simplePos="0" relativeHeight="251659264" behindDoc="0" locked="0" layoutInCell="1" allowOverlap="1" wp14:anchorId="6C988769" wp14:editId="4CF0640C">
            <wp:simplePos x="0" y="0"/>
            <wp:positionH relativeFrom="column">
              <wp:posOffset>4107413</wp:posOffset>
            </wp:positionH>
            <wp:positionV relativeFrom="paragraph">
              <wp:posOffset>89755</wp:posOffset>
            </wp:positionV>
            <wp:extent cx="622300" cy="622300"/>
            <wp:effectExtent l="0" t="0" r="6350" b="6350"/>
            <wp:wrapNone/>
            <wp:docPr id="17" name="Picture 17" descr="Logo Uora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Uorade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pic:spPr>
                </pic:pic>
              </a:graphicData>
            </a:graphic>
            <wp14:sizeRelH relativeFrom="page">
              <wp14:pctWidth>0</wp14:pctWidth>
            </wp14:sizeRelH>
            <wp14:sizeRelV relativeFrom="page">
              <wp14:pctHeight>0</wp14:pctHeight>
            </wp14:sizeRelV>
          </wp:anchor>
        </w:drawing>
      </w:r>
      <w:r w:rsidR="005C1D69">
        <w:rPr>
          <w:noProof/>
          <w:lang w:val="lv-LV" w:eastAsia="lv-LV"/>
        </w:rPr>
        <w:drawing>
          <wp:anchor distT="0" distB="0" distL="114300" distR="114300" simplePos="0" relativeHeight="251660288" behindDoc="0" locked="0" layoutInCell="1" allowOverlap="1" wp14:anchorId="50277B5B" wp14:editId="7964DCCE">
            <wp:simplePos x="0" y="0"/>
            <wp:positionH relativeFrom="margin">
              <wp:posOffset>2644062</wp:posOffset>
            </wp:positionH>
            <wp:positionV relativeFrom="paragraph">
              <wp:posOffset>182867</wp:posOffset>
            </wp:positionV>
            <wp:extent cx="1118870" cy="44386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8870" cy="443865"/>
                    </a:xfrm>
                    <a:prstGeom prst="rect">
                      <a:avLst/>
                    </a:prstGeom>
                    <a:noFill/>
                  </pic:spPr>
                </pic:pic>
              </a:graphicData>
            </a:graphic>
            <wp14:sizeRelH relativeFrom="page">
              <wp14:pctWidth>0</wp14:pctWidth>
            </wp14:sizeRelH>
            <wp14:sizeRelV relativeFrom="page">
              <wp14:pctHeight>0</wp14:pctHeight>
            </wp14:sizeRelV>
          </wp:anchor>
        </w:drawing>
      </w:r>
    </w:p>
    <w:p w14:paraId="3D8A3044" w14:textId="5E4716B4" w:rsidR="00ED6945" w:rsidRDefault="0094036F" w:rsidP="0094036F">
      <w:pPr>
        <w:rPr>
          <w:bCs/>
          <w:lang w:val="lv-LV"/>
        </w:rPr>
      </w:pPr>
      <w:r>
        <w:rPr>
          <w:bCs/>
          <w:lang w:val="lv-LV"/>
        </w:rPr>
        <w:t xml:space="preserve">                                    </w:t>
      </w:r>
    </w:p>
    <w:p w14:paraId="796A6F26" w14:textId="77777777" w:rsidR="00ED6945" w:rsidRDefault="00ED6945" w:rsidP="0094036F">
      <w:pPr>
        <w:tabs>
          <w:tab w:val="left" w:pos="1507"/>
        </w:tabs>
        <w:rPr>
          <w:bCs/>
          <w:lang w:val="lv-LV"/>
        </w:rPr>
      </w:pPr>
    </w:p>
    <w:p w14:paraId="49733D5A" w14:textId="2040B768" w:rsidR="0024421F" w:rsidRDefault="00ED6945" w:rsidP="006D11FE">
      <w:pPr>
        <w:spacing w:after="0"/>
        <w:jc w:val="center"/>
        <w:rPr>
          <w:bCs/>
          <w:iCs/>
          <w:sz w:val="20"/>
          <w:szCs w:val="20"/>
          <w:lang w:val="lv-LV"/>
        </w:rPr>
      </w:pPr>
      <w:r w:rsidRPr="009E0F47">
        <w:rPr>
          <w:b/>
          <w:bCs/>
          <w:iCs/>
          <w:sz w:val="20"/>
          <w:szCs w:val="20"/>
          <w:lang w:val="lv-LV"/>
        </w:rPr>
        <w:t>Baltijas Starptautiskā akadēmija</w:t>
      </w:r>
      <w:r w:rsidRPr="009E0F47">
        <w:rPr>
          <w:bCs/>
          <w:iCs/>
          <w:sz w:val="20"/>
          <w:szCs w:val="20"/>
          <w:lang w:val="lv-LV"/>
        </w:rPr>
        <w:t xml:space="preserve"> (Latvija)</w:t>
      </w:r>
      <w:r w:rsidR="00D5496F" w:rsidRPr="00D5496F">
        <w:rPr>
          <w:bCs/>
          <w:iCs/>
          <w:sz w:val="20"/>
          <w:szCs w:val="20"/>
          <w:lang w:val="lv-LV"/>
        </w:rPr>
        <w:t xml:space="preserve"> </w:t>
      </w:r>
      <w:r w:rsidR="00D5496F" w:rsidRPr="009E0F47">
        <w:rPr>
          <w:bCs/>
          <w:iCs/>
          <w:sz w:val="20"/>
          <w:szCs w:val="20"/>
          <w:lang w:val="lv-LV"/>
        </w:rPr>
        <w:t>|</w:t>
      </w:r>
      <w:r w:rsidRPr="009E0F47">
        <w:rPr>
          <w:bCs/>
          <w:iCs/>
          <w:sz w:val="20"/>
          <w:szCs w:val="20"/>
          <w:lang w:val="lv-LV"/>
        </w:rPr>
        <w:t xml:space="preserve"> </w:t>
      </w:r>
      <w:r w:rsidRPr="009E0F47">
        <w:rPr>
          <w:b/>
          <w:bCs/>
          <w:iCs/>
          <w:sz w:val="20"/>
          <w:szCs w:val="20"/>
          <w:lang w:val="lv-LV"/>
        </w:rPr>
        <w:t>Daugavpils Universitāte</w:t>
      </w:r>
      <w:r w:rsidRPr="009E0F47">
        <w:rPr>
          <w:bCs/>
          <w:iCs/>
          <w:sz w:val="20"/>
          <w:szCs w:val="20"/>
          <w:lang w:val="lv-LV"/>
        </w:rPr>
        <w:t xml:space="preserve"> (Latvija)</w:t>
      </w:r>
      <w:r w:rsidR="00D5496F" w:rsidRPr="00D5496F">
        <w:rPr>
          <w:bCs/>
          <w:iCs/>
          <w:sz w:val="20"/>
          <w:szCs w:val="20"/>
          <w:lang w:val="lv-LV"/>
        </w:rPr>
        <w:t xml:space="preserve"> </w:t>
      </w:r>
      <w:r w:rsidR="00D5496F" w:rsidRPr="009E0F47">
        <w:rPr>
          <w:bCs/>
          <w:iCs/>
          <w:sz w:val="20"/>
          <w:szCs w:val="20"/>
          <w:lang w:val="lv-LV"/>
        </w:rPr>
        <w:t>|</w:t>
      </w:r>
      <w:r w:rsidRPr="009E0F47">
        <w:rPr>
          <w:bCs/>
          <w:iCs/>
          <w:sz w:val="20"/>
          <w:szCs w:val="20"/>
          <w:lang w:val="lv-LV"/>
        </w:rPr>
        <w:t xml:space="preserve"> </w:t>
      </w:r>
      <w:r w:rsidRPr="009E0F47">
        <w:rPr>
          <w:b/>
          <w:bCs/>
          <w:iCs/>
          <w:sz w:val="20"/>
          <w:szCs w:val="20"/>
          <w:lang w:val="lv-LV"/>
        </w:rPr>
        <w:t>Grāmatvedības un Finanšu koledža</w:t>
      </w:r>
      <w:r w:rsidRPr="009E0F47">
        <w:rPr>
          <w:bCs/>
          <w:iCs/>
          <w:sz w:val="20"/>
          <w:szCs w:val="20"/>
          <w:lang w:val="lv-LV"/>
        </w:rPr>
        <w:t xml:space="preserve"> (Latvija)</w:t>
      </w:r>
      <w:r w:rsidR="00D5496F" w:rsidRPr="00D5496F">
        <w:rPr>
          <w:bCs/>
          <w:iCs/>
          <w:sz w:val="20"/>
          <w:szCs w:val="20"/>
          <w:lang w:val="lv-LV"/>
        </w:rPr>
        <w:t xml:space="preserve"> </w:t>
      </w:r>
      <w:r w:rsidR="00D5496F" w:rsidRPr="009E0F47">
        <w:rPr>
          <w:bCs/>
          <w:iCs/>
          <w:sz w:val="20"/>
          <w:szCs w:val="20"/>
          <w:lang w:val="lv-LV"/>
        </w:rPr>
        <w:t>|</w:t>
      </w:r>
      <w:r w:rsidRPr="009E0F47">
        <w:rPr>
          <w:bCs/>
          <w:iCs/>
          <w:sz w:val="20"/>
          <w:szCs w:val="20"/>
          <w:lang w:val="lv-LV"/>
        </w:rPr>
        <w:t xml:space="preserve"> </w:t>
      </w:r>
      <w:r w:rsidRPr="009E0F47">
        <w:rPr>
          <w:b/>
          <w:bCs/>
          <w:iCs/>
          <w:sz w:val="20"/>
          <w:szCs w:val="20"/>
          <w:lang w:val="lv-LV"/>
        </w:rPr>
        <w:t>V.N.Karazin Kharkiv National University</w:t>
      </w:r>
      <w:r w:rsidRPr="009E0F47">
        <w:rPr>
          <w:bCs/>
          <w:iCs/>
          <w:sz w:val="20"/>
          <w:szCs w:val="20"/>
          <w:lang w:val="lv-LV"/>
        </w:rPr>
        <w:t xml:space="preserve"> (Ukraine)</w:t>
      </w:r>
      <w:r w:rsidR="00D5496F" w:rsidRPr="00D5496F">
        <w:rPr>
          <w:bCs/>
          <w:iCs/>
          <w:sz w:val="20"/>
          <w:szCs w:val="20"/>
          <w:lang w:val="lv-LV"/>
        </w:rPr>
        <w:t xml:space="preserve"> </w:t>
      </w:r>
      <w:r w:rsidR="00D5496F" w:rsidRPr="009E0F47">
        <w:rPr>
          <w:bCs/>
          <w:iCs/>
          <w:sz w:val="20"/>
          <w:szCs w:val="20"/>
          <w:lang w:val="lv-LV"/>
        </w:rPr>
        <w:t>|</w:t>
      </w:r>
      <w:r w:rsidR="005C1D69" w:rsidRPr="009E0F47">
        <w:rPr>
          <w:bCs/>
          <w:iCs/>
          <w:sz w:val="20"/>
          <w:szCs w:val="20"/>
          <w:lang w:val="lv-LV"/>
        </w:rPr>
        <w:t xml:space="preserve"> </w:t>
      </w:r>
      <w:r w:rsidR="005C1D69" w:rsidRPr="00BA6BDD">
        <w:rPr>
          <w:b/>
          <w:bCs/>
          <w:iCs/>
          <w:sz w:val="20"/>
          <w:szCs w:val="20"/>
          <w:lang w:val="lv-LV"/>
        </w:rPr>
        <w:t>Kyiv National University of Technologies and Design</w:t>
      </w:r>
      <w:r w:rsidR="005C1D69" w:rsidRPr="00BA6BDD">
        <w:rPr>
          <w:bCs/>
          <w:iCs/>
          <w:sz w:val="20"/>
          <w:szCs w:val="20"/>
        </w:rPr>
        <w:t xml:space="preserve"> (</w:t>
      </w:r>
      <w:r w:rsidR="005C1D69" w:rsidRPr="00BA6BDD">
        <w:rPr>
          <w:bCs/>
          <w:iCs/>
          <w:sz w:val="20"/>
          <w:szCs w:val="20"/>
          <w:lang w:val="lv-LV"/>
        </w:rPr>
        <w:t>Ukraine</w:t>
      </w:r>
      <w:r w:rsidR="005C1D69" w:rsidRPr="00BA6BDD">
        <w:rPr>
          <w:bCs/>
          <w:iCs/>
          <w:sz w:val="20"/>
          <w:szCs w:val="20"/>
        </w:rPr>
        <w:t>)</w:t>
      </w:r>
      <w:r w:rsidR="005C1D69" w:rsidRPr="005C1D69">
        <w:rPr>
          <w:bCs/>
          <w:iCs/>
          <w:sz w:val="20"/>
          <w:szCs w:val="20"/>
          <w:lang w:val="lv-LV"/>
        </w:rPr>
        <w:t xml:space="preserve"> </w:t>
      </w:r>
      <w:r w:rsidR="005C1D69" w:rsidRPr="009E0F47">
        <w:rPr>
          <w:bCs/>
          <w:iCs/>
          <w:sz w:val="20"/>
          <w:szCs w:val="20"/>
          <w:lang w:val="lv-LV"/>
        </w:rPr>
        <w:t xml:space="preserve">| </w:t>
      </w:r>
      <w:r w:rsidR="004D1E89" w:rsidRPr="004D1E89">
        <w:rPr>
          <w:b/>
          <w:bCs/>
          <w:iCs/>
          <w:sz w:val="20"/>
          <w:szCs w:val="20"/>
        </w:rPr>
        <w:t>Research Centre of Industrial Problems of</w:t>
      </w:r>
      <w:r w:rsidR="005C1D69">
        <w:rPr>
          <w:b/>
          <w:bCs/>
          <w:iCs/>
          <w:sz w:val="20"/>
          <w:szCs w:val="20"/>
        </w:rPr>
        <w:t xml:space="preserve"> </w:t>
      </w:r>
      <w:r w:rsidR="004D1E89" w:rsidRPr="004D1E89">
        <w:rPr>
          <w:b/>
          <w:bCs/>
          <w:iCs/>
          <w:sz w:val="20"/>
          <w:szCs w:val="20"/>
        </w:rPr>
        <w:t>Development of NAS of Ukraine</w:t>
      </w:r>
      <w:r w:rsidR="004D1E89">
        <w:rPr>
          <w:bCs/>
          <w:iCs/>
          <w:sz w:val="20"/>
          <w:szCs w:val="20"/>
        </w:rPr>
        <w:t xml:space="preserve"> </w:t>
      </w:r>
      <w:r w:rsidR="004D1E89" w:rsidRPr="009E0F47">
        <w:rPr>
          <w:bCs/>
          <w:iCs/>
          <w:sz w:val="20"/>
          <w:szCs w:val="20"/>
          <w:lang w:val="lv-LV"/>
        </w:rPr>
        <w:t>|</w:t>
      </w:r>
      <w:r w:rsidR="004D1E89">
        <w:rPr>
          <w:bCs/>
          <w:iCs/>
          <w:sz w:val="20"/>
          <w:szCs w:val="20"/>
          <w:lang w:val="lv-LV"/>
        </w:rPr>
        <w:t xml:space="preserve"> </w:t>
      </w:r>
      <w:r w:rsidR="006D11FE" w:rsidRPr="006C471F">
        <w:rPr>
          <w:b/>
          <w:bCs/>
          <w:iCs/>
          <w:sz w:val="20"/>
          <w:szCs w:val="20"/>
          <w:lang w:val="lv-LV"/>
        </w:rPr>
        <w:t>Panevezys University of A</w:t>
      </w:r>
      <w:r w:rsidR="006D11FE">
        <w:rPr>
          <w:b/>
          <w:bCs/>
          <w:iCs/>
          <w:sz w:val="20"/>
          <w:szCs w:val="20"/>
          <w:lang w:val="lv-LV"/>
        </w:rPr>
        <w:t>p</w:t>
      </w:r>
      <w:r w:rsidR="006D11FE" w:rsidRPr="006C471F">
        <w:rPr>
          <w:b/>
          <w:bCs/>
          <w:iCs/>
          <w:sz w:val="20"/>
          <w:szCs w:val="20"/>
          <w:lang w:val="lv-LV"/>
        </w:rPr>
        <w:t>plied Sciences</w:t>
      </w:r>
      <w:r w:rsidR="006D11FE" w:rsidRPr="006C471F">
        <w:rPr>
          <w:bCs/>
          <w:iCs/>
          <w:sz w:val="20"/>
          <w:szCs w:val="20"/>
          <w:lang w:val="lv-LV"/>
        </w:rPr>
        <w:t xml:space="preserve"> (</w:t>
      </w:r>
      <w:r w:rsidR="006D11FE">
        <w:rPr>
          <w:bCs/>
          <w:iCs/>
          <w:sz w:val="20"/>
          <w:szCs w:val="20"/>
          <w:lang w:val="lv-LV"/>
        </w:rPr>
        <w:t>Lithuania</w:t>
      </w:r>
      <w:r w:rsidR="006D11FE" w:rsidRPr="006C471F">
        <w:rPr>
          <w:bCs/>
          <w:iCs/>
          <w:sz w:val="20"/>
          <w:szCs w:val="20"/>
          <w:lang w:val="lv-LV"/>
        </w:rPr>
        <w:t>)</w:t>
      </w:r>
      <w:r w:rsidR="00D5496F">
        <w:rPr>
          <w:bCs/>
          <w:iCs/>
          <w:sz w:val="20"/>
          <w:szCs w:val="20"/>
          <w:lang w:val="lv-LV"/>
        </w:rPr>
        <w:t xml:space="preserve"> </w:t>
      </w:r>
      <w:r w:rsidR="00D5496F" w:rsidRPr="009E0F47">
        <w:rPr>
          <w:bCs/>
          <w:iCs/>
          <w:sz w:val="20"/>
          <w:szCs w:val="20"/>
          <w:lang w:val="lv-LV"/>
        </w:rPr>
        <w:t>|</w:t>
      </w:r>
      <w:r w:rsidR="00D14F7C">
        <w:rPr>
          <w:bCs/>
          <w:iCs/>
          <w:sz w:val="20"/>
          <w:szCs w:val="20"/>
          <w:lang w:val="lv-LV"/>
        </w:rPr>
        <w:t xml:space="preserve"> </w:t>
      </w:r>
      <w:r w:rsidR="00D5496F" w:rsidRPr="009E0F47">
        <w:rPr>
          <w:b/>
          <w:bCs/>
          <w:iCs/>
          <w:sz w:val="20"/>
          <w:szCs w:val="20"/>
          <w:lang w:val="lv-LV"/>
        </w:rPr>
        <w:t xml:space="preserve">Simon Kuznets Kharkiv National University of Economics </w:t>
      </w:r>
      <w:r w:rsidR="00D5496F" w:rsidRPr="009E0F47">
        <w:rPr>
          <w:iCs/>
          <w:sz w:val="20"/>
          <w:szCs w:val="20"/>
          <w:shd w:val="clear" w:color="auto" w:fill="FFFFFF"/>
          <w:lang w:val="lv-LV"/>
        </w:rPr>
        <w:t>(Ukraine)</w:t>
      </w:r>
      <w:r w:rsidR="00D5496F" w:rsidRPr="00D5496F">
        <w:rPr>
          <w:b/>
          <w:bCs/>
          <w:iCs/>
          <w:sz w:val="20"/>
          <w:szCs w:val="20"/>
          <w:lang w:val="lv-LV"/>
        </w:rPr>
        <w:t xml:space="preserve"> </w:t>
      </w:r>
      <w:r w:rsidR="00D14F7C" w:rsidRPr="009E0F47">
        <w:rPr>
          <w:bCs/>
          <w:iCs/>
          <w:sz w:val="20"/>
          <w:szCs w:val="20"/>
          <w:lang w:val="lv-LV"/>
        </w:rPr>
        <w:t>|</w:t>
      </w:r>
      <w:r w:rsidR="0024421F">
        <w:rPr>
          <w:bCs/>
          <w:iCs/>
          <w:sz w:val="20"/>
          <w:szCs w:val="20"/>
          <w:lang w:val="lv-LV"/>
        </w:rPr>
        <w:t xml:space="preserve"> </w:t>
      </w:r>
    </w:p>
    <w:p w14:paraId="4B2A13E5" w14:textId="0FFD283E" w:rsidR="0024421F" w:rsidRDefault="00ED6945" w:rsidP="009E0F47">
      <w:pPr>
        <w:spacing w:after="0"/>
        <w:jc w:val="center"/>
        <w:rPr>
          <w:b/>
          <w:iCs/>
          <w:sz w:val="20"/>
          <w:szCs w:val="20"/>
          <w:shd w:val="clear" w:color="auto" w:fill="FFFFFF"/>
          <w:lang w:val="lv-LV"/>
        </w:rPr>
      </w:pPr>
      <w:r w:rsidRPr="009E0F47">
        <w:rPr>
          <w:b/>
          <w:bCs/>
          <w:iCs/>
          <w:sz w:val="20"/>
          <w:szCs w:val="20"/>
          <w:lang w:val="lv-LV"/>
        </w:rPr>
        <w:t>Siedlce University of Natural Sciences and Humanities</w:t>
      </w:r>
      <w:r w:rsidRPr="009E0F47">
        <w:rPr>
          <w:bCs/>
          <w:iCs/>
          <w:sz w:val="20"/>
          <w:szCs w:val="20"/>
          <w:lang w:val="lv-LV"/>
        </w:rPr>
        <w:t xml:space="preserve"> (Poland)</w:t>
      </w:r>
      <w:r w:rsidR="00D5496F" w:rsidRPr="00D5496F">
        <w:rPr>
          <w:bCs/>
          <w:iCs/>
          <w:sz w:val="20"/>
          <w:szCs w:val="20"/>
          <w:lang w:val="lv-LV"/>
        </w:rPr>
        <w:t xml:space="preserve"> </w:t>
      </w:r>
      <w:r w:rsidR="00D5496F" w:rsidRPr="009E0F47">
        <w:rPr>
          <w:bCs/>
          <w:iCs/>
          <w:sz w:val="20"/>
          <w:szCs w:val="20"/>
          <w:lang w:val="lv-LV"/>
        </w:rPr>
        <w:t>|</w:t>
      </w:r>
      <w:r w:rsidR="00447028">
        <w:rPr>
          <w:bCs/>
          <w:iCs/>
          <w:sz w:val="20"/>
          <w:szCs w:val="20"/>
          <w:lang w:val="lv-LV"/>
        </w:rPr>
        <w:t xml:space="preserve"> </w:t>
      </w:r>
      <w:r w:rsidRPr="009E0F47">
        <w:rPr>
          <w:b/>
          <w:iCs/>
          <w:sz w:val="20"/>
          <w:szCs w:val="20"/>
          <w:shd w:val="clear" w:color="auto" w:fill="FFFFFF"/>
          <w:lang w:val="lv-LV"/>
        </w:rPr>
        <w:t xml:space="preserve">University of Oradea </w:t>
      </w:r>
    </w:p>
    <w:p w14:paraId="71CD83C7" w14:textId="284A0632" w:rsidR="00ED6945" w:rsidRDefault="00ED6945" w:rsidP="009E0F47">
      <w:pPr>
        <w:spacing w:after="0"/>
        <w:jc w:val="center"/>
        <w:rPr>
          <w:bCs/>
          <w:iCs/>
          <w:sz w:val="20"/>
          <w:szCs w:val="20"/>
          <w:lang w:val="lv-LV"/>
        </w:rPr>
      </w:pPr>
      <w:r w:rsidRPr="009E0F47">
        <w:rPr>
          <w:iCs/>
          <w:sz w:val="20"/>
          <w:szCs w:val="20"/>
          <w:shd w:val="clear" w:color="auto" w:fill="FFFFFF"/>
          <w:lang w:val="lv-LV"/>
        </w:rPr>
        <w:t>(Romania)</w:t>
      </w:r>
      <w:r w:rsidR="00501A04" w:rsidRPr="009E0F47">
        <w:rPr>
          <w:bCs/>
          <w:iCs/>
          <w:sz w:val="20"/>
          <w:szCs w:val="20"/>
          <w:lang w:val="lv-LV"/>
        </w:rPr>
        <w:t xml:space="preserve"> </w:t>
      </w:r>
      <w:r w:rsidR="00D14F7C" w:rsidRPr="009E0F47">
        <w:rPr>
          <w:bCs/>
          <w:iCs/>
          <w:sz w:val="20"/>
          <w:szCs w:val="20"/>
          <w:lang w:val="lv-LV"/>
        </w:rPr>
        <w:t>|</w:t>
      </w:r>
      <w:r w:rsidR="00D5496F">
        <w:rPr>
          <w:bCs/>
          <w:iCs/>
          <w:sz w:val="20"/>
          <w:szCs w:val="20"/>
          <w:lang w:val="lv-LV"/>
        </w:rPr>
        <w:t xml:space="preserve"> </w:t>
      </w:r>
      <w:r w:rsidR="00D5496F" w:rsidRPr="009E0F47">
        <w:rPr>
          <w:b/>
          <w:bCs/>
          <w:iCs/>
          <w:sz w:val="20"/>
          <w:szCs w:val="20"/>
          <w:lang w:val="lv-LV"/>
        </w:rPr>
        <w:t xml:space="preserve">Lithuanian Sports University </w:t>
      </w:r>
      <w:r w:rsidR="00D5496F" w:rsidRPr="009E0F47">
        <w:rPr>
          <w:bCs/>
          <w:iCs/>
          <w:sz w:val="20"/>
          <w:szCs w:val="20"/>
          <w:lang w:val="lv-LV"/>
        </w:rPr>
        <w:t>(Lithuania)</w:t>
      </w:r>
      <w:r w:rsidR="00D5496F" w:rsidRPr="00D5496F">
        <w:rPr>
          <w:bCs/>
          <w:iCs/>
          <w:sz w:val="20"/>
          <w:szCs w:val="20"/>
          <w:lang w:val="lv-LV"/>
        </w:rPr>
        <w:t xml:space="preserve"> </w:t>
      </w:r>
    </w:p>
    <w:p w14:paraId="19F8438C" w14:textId="77777777" w:rsidR="00965DAC" w:rsidRPr="009E0F47" w:rsidRDefault="00965DAC" w:rsidP="009E0F47">
      <w:pPr>
        <w:spacing w:after="0"/>
        <w:jc w:val="center"/>
        <w:rPr>
          <w:bCs/>
          <w:iCs/>
          <w:lang w:val="lv-LV"/>
        </w:rPr>
      </w:pPr>
    </w:p>
    <w:p w14:paraId="7445593C" w14:textId="47B47434" w:rsidR="00ED6945" w:rsidRDefault="00965DAC" w:rsidP="00ED6945">
      <w:pPr>
        <w:jc w:val="center"/>
        <w:rPr>
          <w:b/>
          <w:lang w:val="lv-LV"/>
        </w:rPr>
      </w:pPr>
      <w:r>
        <w:rPr>
          <w:b/>
          <w:noProof/>
          <w:lang w:val="lv-LV" w:eastAsia="lv-LV"/>
        </w:rPr>
        <w:drawing>
          <wp:inline distT="0" distB="0" distL="0" distR="0" wp14:anchorId="70DAD145" wp14:editId="0817F3FF">
            <wp:extent cx="6611112" cy="267919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 Power of Science LV.png"/>
                    <pic:cNvPicPr/>
                  </pic:nvPicPr>
                  <pic:blipFill>
                    <a:blip r:embed="rId18">
                      <a:extLst>
                        <a:ext uri="{28A0092B-C50C-407E-A947-70E740481C1C}">
                          <a14:useLocalDpi xmlns:a14="http://schemas.microsoft.com/office/drawing/2010/main" val="0"/>
                        </a:ext>
                      </a:extLst>
                    </a:blip>
                    <a:stretch>
                      <a:fillRect/>
                    </a:stretch>
                  </pic:blipFill>
                  <pic:spPr>
                    <a:xfrm>
                      <a:off x="0" y="0"/>
                      <a:ext cx="6611112" cy="2679192"/>
                    </a:xfrm>
                    <a:prstGeom prst="rect">
                      <a:avLst/>
                    </a:prstGeom>
                  </pic:spPr>
                </pic:pic>
              </a:graphicData>
            </a:graphic>
          </wp:inline>
        </w:drawing>
      </w:r>
    </w:p>
    <w:p w14:paraId="237D51F4" w14:textId="77777777" w:rsidR="00ED6945" w:rsidRDefault="00ED6945" w:rsidP="00ED6945">
      <w:pPr>
        <w:jc w:val="center"/>
        <w:rPr>
          <w:b/>
          <w:lang w:val="lv-LV"/>
        </w:rPr>
      </w:pPr>
    </w:p>
    <w:p w14:paraId="19BDBA8F" w14:textId="77777777" w:rsidR="00ED6945" w:rsidRDefault="00ED6945" w:rsidP="00ED6945">
      <w:pPr>
        <w:jc w:val="center"/>
        <w:rPr>
          <w:b/>
          <w:lang w:val="lv-LV"/>
        </w:rPr>
      </w:pPr>
    </w:p>
    <w:p w14:paraId="70FE30F8" w14:textId="77777777" w:rsidR="00D14F7C" w:rsidRPr="00965DAC" w:rsidRDefault="00D14F7C" w:rsidP="00D14F7C">
      <w:pPr>
        <w:pStyle w:val="a4"/>
        <w:spacing w:line="276" w:lineRule="auto"/>
        <w:ind w:firstLine="706"/>
        <w:jc w:val="center"/>
        <w:rPr>
          <w:rFonts w:asciiTheme="minorHAnsi" w:hAnsiTheme="minorHAnsi" w:cstheme="minorHAnsi"/>
          <w:bCs/>
          <w:iCs/>
          <w:sz w:val="24"/>
          <w:szCs w:val="24"/>
          <w:lang w:val="lv-LV"/>
        </w:rPr>
      </w:pPr>
      <w:r w:rsidRPr="00965DAC">
        <w:rPr>
          <w:rFonts w:asciiTheme="minorHAnsi" w:hAnsiTheme="minorHAnsi" w:cstheme="minorHAnsi"/>
          <w:bCs/>
          <w:iCs/>
          <w:sz w:val="24"/>
          <w:szCs w:val="24"/>
          <w:lang w:val="lv-LV"/>
        </w:rPr>
        <w:t>Cienījamie kolēģi!</w:t>
      </w:r>
    </w:p>
    <w:p w14:paraId="62A97C06" w14:textId="77777777" w:rsidR="00D14F7C" w:rsidRPr="00965DAC" w:rsidRDefault="00D14F7C" w:rsidP="00D14F7C">
      <w:pPr>
        <w:pStyle w:val="a4"/>
        <w:spacing w:line="276" w:lineRule="auto"/>
        <w:ind w:firstLine="706"/>
        <w:jc w:val="center"/>
        <w:rPr>
          <w:rFonts w:ascii="Times New Roman" w:hAnsi="Times New Roman"/>
          <w:bCs/>
          <w:iCs/>
          <w:sz w:val="24"/>
          <w:szCs w:val="24"/>
          <w:lang w:val="lv-LV"/>
        </w:rPr>
      </w:pPr>
    </w:p>
    <w:p w14:paraId="1B07DB9B" w14:textId="6DB8E148" w:rsidR="00D14F7C" w:rsidRPr="00965DAC" w:rsidRDefault="00D14F7C" w:rsidP="00D14F7C">
      <w:pPr>
        <w:spacing w:line="360" w:lineRule="auto"/>
        <w:jc w:val="both"/>
        <w:rPr>
          <w:rFonts w:ascii="Times New Roman" w:hAnsi="Times New Roman"/>
          <w:bCs/>
          <w:sz w:val="24"/>
          <w:szCs w:val="24"/>
          <w:lang w:val="lv-LV"/>
        </w:rPr>
      </w:pPr>
      <w:r w:rsidRPr="00965DAC">
        <w:rPr>
          <w:bCs/>
          <w:sz w:val="24"/>
          <w:szCs w:val="24"/>
          <w:lang w:val="lv-LV"/>
        </w:rPr>
        <w:t>Aicinām docētājus, doktorantus, maģistrantus un profesionāļus piedalīties XI Starptautiskajā zinātniski praktiskajā konferencē “Sabiedrības transformācija sociālo un humanitāro zinātņu jomā</w:t>
      </w:r>
      <w:r w:rsidR="00DF5A41" w:rsidRPr="00965DAC">
        <w:rPr>
          <w:bCs/>
          <w:sz w:val="24"/>
          <w:szCs w:val="24"/>
          <w:lang w:val="lv-LV"/>
        </w:rPr>
        <w:t xml:space="preserve">”, kas norisināsies 2022. gada </w:t>
      </w:r>
      <w:r w:rsidRPr="00965DAC">
        <w:rPr>
          <w:bCs/>
          <w:sz w:val="24"/>
          <w:szCs w:val="24"/>
          <w:lang w:val="lv-LV"/>
        </w:rPr>
        <w:t xml:space="preserve">9.-10. decembrī. </w:t>
      </w:r>
    </w:p>
    <w:p w14:paraId="17809297" w14:textId="6C0B8A01" w:rsidR="001E4B43" w:rsidRPr="00965DAC" w:rsidRDefault="001E4B43">
      <w:pPr>
        <w:rPr>
          <w:bCs/>
          <w:sz w:val="24"/>
          <w:szCs w:val="24"/>
          <w:lang w:val="lv-LV"/>
        </w:rPr>
      </w:pPr>
      <w:r w:rsidRPr="00965DAC">
        <w:rPr>
          <w:bCs/>
          <w:sz w:val="24"/>
          <w:szCs w:val="24"/>
          <w:lang w:val="lv-LV"/>
        </w:rPr>
        <w:br w:type="page"/>
      </w:r>
    </w:p>
    <w:p w14:paraId="3296DE88" w14:textId="77777777" w:rsidR="00D14F7C" w:rsidRPr="00965DAC" w:rsidRDefault="00D14F7C" w:rsidP="00D14F7C">
      <w:pPr>
        <w:pStyle w:val="a4"/>
        <w:spacing w:line="276" w:lineRule="auto"/>
        <w:rPr>
          <w:rFonts w:asciiTheme="minorHAnsi" w:hAnsiTheme="minorHAnsi" w:cstheme="minorHAnsi"/>
          <w:b/>
          <w:iCs/>
          <w:color w:val="7030A0"/>
          <w:sz w:val="24"/>
          <w:szCs w:val="24"/>
          <w:lang w:val="lv-LV"/>
        </w:rPr>
      </w:pPr>
      <w:r w:rsidRPr="00965DAC">
        <w:rPr>
          <w:rFonts w:asciiTheme="minorHAnsi" w:hAnsiTheme="minorHAnsi" w:cstheme="minorHAnsi"/>
          <w:b/>
          <w:iCs/>
          <w:color w:val="7030A0"/>
          <w:sz w:val="24"/>
          <w:szCs w:val="24"/>
          <w:lang w:val="lv-LV"/>
        </w:rPr>
        <w:lastRenderedPageBreak/>
        <w:t>Konferences ietvaros tiks organizētas šādas sekcijas:</w:t>
      </w:r>
    </w:p>
    <w:p w14:paraId="60E3DE2C" w14:textId="1112B965" w:rsidR="00D14F7C" w:rsidRPr="00965DAC" w:rsidRDefault="00486DAC" w:rsidP="00D14F7C">
      <w:pPr>
        <w:pStyle w:val="a4"/>
        <w:numPr>
          <w:ilvl w:val="0"/>
          <w:numId w:val="1"/>
        </w:numPr>
        <w:spacing w:line="276" w:lineRule="auto"/>
        <w:ind w:left="851"/>
        <w:rPr>
          <w:rFonts w:asciiTheme="minorHAnsi" w:eastAsiaTheme="minorHAnsi" w:hAnsiTheme="minorHAnsi" w:cstheme="minorBidi"/>
          <w:sz w:val="24"/>
          <w:szCs w:val="24"/>
          <w:lang w:val="lv-LV" w:eastAsia="en-US"/>
        </w:rPr>
      </w:pPr>
      <w:r>
        <w:rPr>
          <w:rFonts w:asciiTheme="minorHAnsi" w:eastAsiaTheme="minorHAnsi" w:hAnsiTheme="minorHAnsi" w:cstheme="minorBidi"/>
          <w:sz w:val="24"/>
          <w:szCs w:val="24"/>
          <w:lang w:val="lv-LV" w:eastAsia="en-US"/>
        </w:rPr>
        <w:t>Tiesību zinātne</w:t>
      </w:r>
    </w:p>
    <w:p w14:paraId="20CF24DD" w14:textId="0FF04EFB" w:rsidR="00D14F7C" w:rsidRPr="002E6BFB" w:rsidRDefault="002E6BFB" w:rsidP="00D14F7C">
      <w:pPr>
        <w:pStyle w:val="a4"/>
        <w:numPr>
          <w:ilvl w:val="0"/>
          <w:numId w:val="1"/>
        </w:numPr>
        <w:spacing w:line="276" w:lineRule="auto"/>
        <w:ind w:left="851"/>
        <w:rPr>
          <w:rFonts w:asciiTheme="minorHAnsi" w:eastAsiaTheme="minorHAnsi" w:hAnsiTheme="minorHAnsi" w:cstheme="minorBidi"/>
          <w:sz w:val="24"/>
          <w:szCs w:val="24"/>
          <w:lang w:val="lv-LV" w:eastAsia="en-US"/>
        </w:rPr>
      </w:pPr>
      <w:r>
        <w:rPr>
          <w:rFonts w:asciiTheme="minorHAnsi" w:eastAsiaTheme="minorHAnsi" w:hAnsiTheme="minorHAnsi" w:cstheme="minorBidi"/>
          <w:sz w:val="24"/>
          <w:szCs w:val="24"/>
          <w:lang w:val="lv-LV" w:eastAsia="en-US"/>
        </w:rPr>
        <w:t>Digitālā e</w:t>
      </w:r>
      <w:r w:rsidR="00D14F7C" w:rsidRPr="002E6BFB">
        <w:rPr>
          <w:rFonts w:asciiTheme="minorHAnsi" w:eastAsiaTheme="minorHAnsi" w:hAnsiTheme="minorHAnsi" w:cstheme="minorBidi"/>
          <w:sz w:val="24"/>
          <w:szCs w:val="24"/>
          <w:lang w:val="lv-LV" w:eastAsia="en-US"/>
        </w:rPr>
        <w:t xml:space="preserve">konomika, finanses un </w:t>
      </w:r>
      <w:r>
        <w:rPr>
          <w:rFonts w:asciiTheme="minorHAnsi" w:eastAsiaTheme="minorHAnsi" w:hAnsiTheme="minorHAnsi" w:cstheme="minorBidi"/>
          <w:sz w:val="24"/>
          <w:szCs w:val="24"/>
          <w:lang w:val="lv-LV" w:eastAsia="en-US"/>
        </w:rPr>
        <w:t>uzņēmējdarbība</w:t>
      </w:r>
    </w:p>
    <w:p w14:paraId="564E0184" w14:textId="566230A0" w:rsidR="00D14F7C" w:rsidRPr="00965DAC" w:rsidRDefault="00D14F7C" w:rsidP="00D14F7C">
      <w:pPr>
        <w:pStyle w:val="a4"/>
        <w:numPr>
          <w:ilvl w:val="0"/>
          <w:numId w:val="1"/>
        </w:numPr>
        <w:spacing w:line="276" w:lineRule="auto"/>
        <w:ind w:left="851"/>
        <w:rPr>
          <w:rFonts w:asciiTheme="minorHAnsi" w:eastAsiaTheme="minorHAnsi" w:hAnsiTheme="minorHAnsi" w:cstheme="minorBidi"/>
          <w:sz w:val="24"/>
          <w:szCs w:val="24"/>
          <w:lang w:val="lv-LV" w:eastAsia="en-US"/>
        </w:rPr>
      </w:pPr>
      <w:r w:rsidRPr="00965DAC">
        <w:rPr>
          <w:rFonts w:asciiTheme="minorHAnsi" w:eastAsiaTheme="minorHAnsi" w:hAnsiTheme="minorHAnsi" w:cstheme="minorBidi"/>
          <w:sz w:val="24"/>
          <w:szCs w:val="24"/>
          <w:lang w:val="lv-LV" w:eastAsia="en-US"/>
        </w:rPr>
        <w:t>Problēmas mūsdienu</w:t>
      </w:r>
      <w:r w:rsidR="004D33E4">
        <w:rPr>
          <w:rFonts w:asciiTheme="minorHAnsi" w:eastAsiaTheme="minorHAnsi" w:hAnsiTheme="minorHAnsi" w:cstheme="minorBidi"/>
          <w:sz w:val="24"/>
          <w:szCs w:val="24"/>
          <w:lang w:val="lv-LV" w:eastAsia="en-US"/>
        </w:rPr>
        <w:t xml:space="preserve"> psiholoģijā: teorija un prakse</w:t>
      </w:r>
    </w:p>
    <w:p w14:paraId="099D0E02" w14:textId="7CD8473A" w:rsidR="00D14F7C" w:rsidRPr="00965DAC" w:rsidRDefault="005174D9" w:rsidP="00D14F7C">
      <w:pPr>
        <w:pStyle w:val="a4"/>
        <w:numPr>
          <w:ilvl w:val="0"/>
          <w:numId w:val="1"/>
        </w:numPr>
        <w:spacing w:line="276" w:lineRule="auto"/>
        <w:ind w:left="851"/>
        <w:rPr>
          <w:rFonts w:asciiTheme="minorHAnsi" w:eastAsiaTheme="minorHAnsi" w:hAnsiTheme="minorHAnsi" w:cstheme="minorBidi"/>
          <w:sz w:val="24"/>
          <w:szCs w:val="24"/>
          <w:lang w:val="lv-LV" w:eastAsia="en-US"/>
        </w:rPr>
      </w:pPr>
      <w:r>
        <w:rPr>
          <w:rFonts w:asciiTheme="minorHAnsi" w:eastAsiaTheme="minorHAnsi" w:hAnsiTheme="minorHAnsi" w:cstheme="minorBidi"/>
          <w:sz w:val="24"/>
          <w:szCs w:val="24"/>
          <w:lang w:val="lv-LV" w:eastAsia="en-US"/>
        </w:rPr>
        <w:t>Iekļaušanas risinājumi tulkošanā, pedagoģijā un sociālajā darbā</w:t>
      </w:r>
    </w:p>
    <w:p w14:paraId="692F092A" w14:textId="5F23D612" w:rsidR="00D14F7C" w:rsidRPr="00965DAC" w:rsidRDefault="00D14F7C" w:rsidP="00D14F7C">
      <w:pPr>
        <w:pStyle w:val="a4"/>
        <w:numPr>
          <w:ilvl w:val="0"/>
          <w:numId w:val="1"/>
        </w:numPr>
        <w:spacing w:line="276" w:lineRule="auto"/>
        <w:ind w:left="851"/>
        <w:rPr>
          <w:rFonts w:asciiTheme="minorHAnsi" w:eastAsiaTheme="minorHAnsi" w:hAnsiTheme="minorHAnsi" w:cstheme="minorBidi"/>
          <w:sz w:val="24"/>
          <w:szCs w:val="24"/>
          <w:lang w:val="lv-LV" w:eastAsia="en-US"/>
        </w:rPr>
      </w:pPr>
      <w:r w:rsidRPr="00965DAC">
        <w:rPr>
          <w:rFonts w:asciiTheme="minorHAnsi" w:eastAsiaTheme="minorHAnsi" w:hAnsiTheme="minorHAnsi" w:cstheme="minorBidi"/>
          <w:sz w:val="24"/>
          <w:szCs w:val="24"/>
          <w:lang w:val="lv-LV" w:eastAsia="en-US"/>
        </w:rPr>
        <w:t>Komun</w:t>
      </w:r>
      <w:r w:rsidR="004D33E4">
        <w:rPr>
          <w:rFonts w:asciiTheme="minorHAnsi" w:eastAsiaTheme="minorHAnsi" w:hAnsiTheme="minorHAnsi" w:cstheme="minorBidi"/>
          <w:sz w:val="24"/>
          <w:szCs w:val="24"/>
          <w:lang w:val="lv-LV" w:eastAsia="en-US"/>
        </w:rPr>
        <w:t>ikāciju tehnoloģijas un tūrisms</w:t>
      </w:r>
    </w:p>
    <w:p w14:paraId="4C7F7111" w14:textId="0EF921D3" w:rsidR="00D14F7C" w:rsidRPr="00965DAC" w:rsidRDefault="004D33E4" w:rsidP="00D14F7C">
      <w:pPr>
        <w:pStyle w:val="a4"/>
        <w:numPr>
          <w:ilvl w:val="0"/>
          <w:numId w:val="1"/>
        </w:numPr>
        <w:spacing w:line="276" w:lineRule="auto"/>
        <w:ind w:left="851"/>
        <w:rPr>
          <w:rFonts w:asciiTheme="minorHAnsi" w:eastAsiaTheme="minorHAnsi" w:hAnsiTheme="minorHAnsi" w:cstheme="minorBidi"/>
          <w:sz w:val="24"/>
          <w:szCs w:val="24"/>
          <w:lang w:val="lv-LV" w:eastAsia="en-US"/>
        </w:rPr>
      </w:pPr>
      <w:r>
        <w:rPr>
          <w:rFonts w:asciiTheme="minorHAnsi" w:eastAsiaTheme="minorHAnsi" w:hAnsiTheme="minorHAnsi" w:cstheme="minorBidi"/>
          <w:sz w:val="24"/>
          <w:szCs w:val="24"/>
          <w:lang w:val="lv-LV" w:eastAsia="en-US"/>
        </w:rPr>
        <w:t>Māksla un dizains</w:t>
      </w:r>
    </w:p>
    <w:p w14:paraId="502166BA" w14:textId="4073655C" w:rsidR="00D14F7C" w:rsidRPr="00965DAC" w:rsidRDefault="004D33E4" w:rsidP="00D14F7C">
      <w:pPr>
        <w:pStyle w:val="a4"/>
        <w:numPr>
          <w:ilvl w:val="0"/>
          <w:numId w:val="1"/>
        </w:numPr>
        <w:spacing w:line="276" w:lineRule="auto"/>
        <w:ind w:left="851"/>
        <w:rPr>
          <w:rFonts w:asciiTheme="minorHAnsi" w:eastAsiaTheme="minorHAnsi" w:hAnsiTheme="minorHAnsi" w:cstheme="minorBidi"/>
          <w:sz w:val="24"/>
          <w:szCs w:val="24"/>
          <w:lang w:val="lv-LV" w:eastAsia="en-US"/>
        </w:rPr>
      </w:pPr>
      <w:r>
        <w:rPr>
          <w:rFonts w:asciiTheme="minorHAnsi" w:eastAsiaTheme="minorHAnsi" w:hAnsiTheme="minorHAnsi" w:cstheme="minorBidi"/>
          <w:sz w:val="24"/>
          <w:szCs w:val="24"/>
          <w:lang w:val="lv-LV" w:eastAsia="en-US"/>
        </w:rPr>
        <w:t>Reģionālā politika</w:t>
      </w:r>
    </w:p>
    <w:p w14:paraId="2C6EC756" w14:textId="350B5157" w:rsidR="00D14F7C" w:rsidRPr="00965DAC" w:rsidRDefault="00D14F7C" w:rsidP="00D14F7C">
      <w:pPr>
        <w:pStyle w:val="a4"/>
        <w:numPr>
          <w:ilvl w:val="0"/>
          <w:numId w:val="1"/>
        </w:numPr>
        <w:spacing w:line="276" w:lineRule="auto"/>
        <w:ind w:left="851"/>
        <w:rPr>
          <w:rFonts w:asciiTheme="minorHAnsi" w:eastAsiaTheme="minorHAnsi" w:hAnsiTheme="minorHAnsi" w:cstheme="minorBidi"/>
          <w:sz w:val="24"/>
          <w:szCs w:val="24"/>
          <w:lang w:val="lv-LV" w:eastAsia="en-US"/>
        </w:rPr>
      </w:pPr>
      <w:r w:rsidRPr="00965DAC">
        <w:rPr>
          <w:rFonts w:asciiTheme="minorHAnsi" w:eastAsiaTheme="minorHAnsi" w:hAnsiTheme="minorHAnsi" w:cstheme="minorBidi"/>
          <w:sz w:val="24"/>
          <w:szCs w:val="24"/>
          <w:lang w:val="lv-LV" w:eastAsia="en-US"/>
        </w:rPr>
        <w:t>Eiropas pētījumi</w:t>
      </w:r>
      <w:r w:rsidR="002E6BFB" w:rsidRPr="00965DAC">
        <w:rPr>
          <w:rFonts w:asciiTheme="minorHAnsi" w:eastAsiaTheme="minorHAnsi" w:hAnsiTheme="minorHAnsi" w:cstheme="minorBidi"/>
          <w:sz w:val="24"/>
          <w:szCs w:val="24"/>
          <w:lang w:val="lv-LV" w:eastAsia="en-US"/>
        </w:rPr>
        <w:t>;</w:t>
      </w:r>
      <w:r w:rsidR="002E6BFB">
        <w:rPr>
          <w:rFonts w:asciiTheme="minorHAnsi" w:eastAsiaTheme="minorHAnsi" w:hAnsiTheme="minorHAnsi" w:cstheme="minorBidi"/>
          <w:sz w:val="24"/>
          <w:szCs w:val="24"/>
          <w:lang w:val="lv-LV" w:eastAsia="en-US"/>
        </w:rPr>
        <w:t xml:space="preserve"> Apaļais galds “Migrantu politiskās un psiholoģiskās adaptācijas problēma</w:t>
      </w:r>
      <w:r w:rsidR="00147511">
        <w:rPr>
          <w:rFonts w:asciiTheme="minorHAnsi" w:eastAsiaTheme="minorHAnsi" w:hAnsiTheme="minorHAnsi" w:cstheme="minorBidi"/>
          <w:sz w:val="24"/>
          <w:szCs w:val="24"/>
          <w:lang w:val="lv-LV" w:eastAsia="en-US"/>
        </w:rPr>
        <w:t xml:space="preserve"> ES valstīs</w:t>
      </w:r>
      <w:r w:rsidR="002E6BFB">
        <w:rPr>
          <w:rFonts w:asciiTheme="minorHAnsi" w:eastAsiaTheme="minorHAnsi" w:hAnsiTheme="minorHAnsi" w:cstheme="minorBidi"/>
          <w:sz w:val="24"/>
          <w:szCs w:val="24"/>
          <w:lang w:val="lv-LV" w:eastAsia="en-US"/>
        </w:rPr>
        <w:t>”</w:t>
      </w:r>
    </w:p>
    <w:p w14:paraId="6818396C" w14:textId="77777777" w:rsidR="00D14F7C" w:rsidRPr="00965DAC" w:rsidRDefault="00D14F7C" w:rsidP="00D14F7C">
      <w:pPr>
        <w:pStyle w:val="a4"/>
        <w:ind w:firstLine="708"/>
        <w:rPr>
          <w:rFonts w:asciiTheme="minorHAnsi" w:hAnsiTheme="minorHAnsi" w:cstheme="minorHAnsi"/>
          <w:b/>
          <w:bCs/>
          <w:sz w:val="24"/>
          <w:szCs w:val="24"/>
          <w:lang w:val="lv-LV"/>
        </w:rPr>
      </w:pPr>
    </w:p>
    <w:p w14:paraId="045FD874" w14:textId="720961F6" w:rsidR="00D14F7C" w:rsidRPr="00965DAC" w:rsidRDefault="00D14F7C" w:rsidP="00D14F7C">
      <w:pPr>
        <w:pStyle w:val="a4"/>
        <w:spacing w:line="276" w:lineRule="auto"/>
        <w:rPr>
          <w:rFonts w:asciiTheme="minorHAnsi" w:hAnsiTheme="minorHAnsi" w:cstheme="minorHAnsi"/>
          <w:b/>
          <w:iCs/>
          <w:color w:val="7030A0"/>
          <w:sz w:val="24"/>
          <w:szCs w:val="24"/>
          <w:lang w:val="lv-LV"/>
        </w:rPr>
      </w:pPr>
      <w:r w:rsidRPr="00965DAC">
        <w:rPr>
          <w:rFonts w:asciiTheme="minorHAnsi" w:hAnsiTheme="minorHAnsi" w:cstheme="minorHAnsi"/>
          <w:b/>
          <w:iCs/>
          <w:color w:val="7030A0"/>
          <w:sz w:val="24"/>
          <w:szCs w:val="24"/>
          <w:lang w:val="lv-LV"/>
        </w:rPr>
        <w:t>Konferences</w:t>
      </w:r>
      <w:r w:rsidR="004C4982" w:rsidRPr="00965DAC">
        <w:rPr>
          <w:rFonts w:asciiTheme="minorHAnsi" w:hAnsiTheme="minorHAnsi" w:cstheme="minorHAnsi"/>
          <w:b/>
          <w:iCs/>
          <w:color w:val="7030A0"/>
          <w:sz w:val="24"/>
          <w:szCs w:val="24"/>
          <w:lang w:val="lv-LV"/>
        </w:rPr>
        <w:t xml:space="preserve"> darba valodas: latviešu, angļu, </w:t>
      </w:r>
      <w:r w:rsidRPr="00965DAC">
        <w:rPr>
          <w:rFonts w:asciiTheme="minorHAnsi" w:hAnsiTheme="minorHAnsi" w:cstheme="minorHAnsi"/>
          <w:b/>
          <w:iCs/>
          <w:color w:val="7030A0"/>
          <w:sz w:val="24"/>
          <w:szCs w:val="24"/>
          <w:lang w:val="lv-LV"/>
        </w:rPr>
        <w:t>krievu</w:t>
      </w:r>
      <w:r w:rsidR="00501EEE">
        <w:rPr>
          <w:rFonts w:asciiTheme="minorHAnsi" w:hAnsiTheme="minorHAnsi" w:cstheme="minorHAnsi"/>
          <w:b/>
          <w:iCs/>
          <w:color w:val="7030A0"/>
          <w:sz w:val="24"/>
          <w:szCs w:val="24"/>
          <w:lang w:val="lv-LV"/>
        </w:rPr>
        <w:t xml:space="preserve"> un ukraiņu</w:t>
      </w:r>
      <w:r w:rsidRPr="00965DAC">
        <w:rPr>
          <w:rFonts w:asciiTheme="minorHAnsi" w:hAnsiTheme="minorHAnsi" w:cstheme="minorHAnsi"/>
          <w:b/>
          <w:iCs/>
          <w:color w:val="7030A0"/>
          <w:sz w:val="24"/>
          <w:szCs w:val="24"/>
          <w:lang w:val="lv-LV"/>
        </w:rPr>
        <w:t>.</w:t>
      </w:r>
    </w:p>
    <w:p w14:paraId="6BFF830D" w14:textId="77777777" w:rsidR="00D14F7C" w:rsidRPr="00965DAC" w:rsidRDefault="00D14F7C" w:rsidP="00D14F7C">
      <w:pPr>
        <w:pStyle w:val="a4"/>
        <w:spacing w:line="360" w:lineRule="auto"/>
        <w:ind w:firstLine="708"/>
        <w:jc w:val="both"/>
        <w:rPr>
          <w:rFonts w:ascii="Times New Roman" w:hAnsi="Times New Roman"/>
          <w:bCs/>
          <w:iCs/>
          <w:sz w:val="24"/>
          <w:szCs w:val="24"/>
          <w:lang w:val="lv-LV"/>
        </w:rPr>
      </w:pPr>
    </w:p>
    <w:p w14:paraId="44536A4E" w14:textId="36A008ED" w:rsidR="00D14F7C" w:rsidRPr="00A97D76" w:rsidRDefault="00D14F7C" w:rsidP="00D14F7C">
      <w:pPr>
        <w:spacing w:line="276" w:lineRule="auto"/>
        <w:jc w:val="both"/>
        <w:rPr>
          <w:rFonts w:ascii="Times New Roman" w:hAnsi="Times New Roman"/>
          <w:sz w:val="24"/>
          <w:szCs w:val="24"/>
          <w:lang w:val="lv-LV"/>
        </w:rPr>
      </w:pPr>
      <w:r w:rsidRPr="00965DAC">
        <w:rPr>
          <w:sz w:val="24"/>
          <w:szCs w:val="24"/>
          <w:lang w:val="lv-LV"/>
        </w:rPr>
        <w:t>Pēc konferences norises BSA mājas lapā tiks publicēts konferences rakstu krājums (e-ISBN). Publicēšanai konferences rakstu krājumā tiks pieņemti raksti</w:t>
      </w:r>
      <w:r w:rsidR="00523943" w:rsidRPr="00965DAC">
        <w:rPr>
          <w:sz w:val="24"/>
          <w:szCs w:val="24"/>
          <w:lang w:val="lv-LV"/>
        </w:rPr>
        <w:t>, kas atbilst konferenču rakstu</w:t>
      </w:r>
      <w:r w:rsidRPr="00965DAC">
        <w:rPr>
          <w:sz w:val="24"/>
          <w:szCs w:val="24"/>
          <w:lang w:val="lv-LV"/>
        </w:rPr>
        <w:t xml:space="preserve"> noformēšanas </w:t>
      </w:r>
      <w:r w:rsidRPr="00A97D76">
        <w:rPr>
          <w:sz w:val="24"/>
          <w:szCs w:val="24"/>
          <w:lang w:val="lv-LV"/>
        </w:rPr>
        <w:t>prasībām. Visus konferences rakstus recenzēs anonīmi recenzenti.</w:t>
      </w:r>
    </w:p>
    <w:p w14:paraId="4F22116B" w14:textId="0CC93861" w:rsidR="00D14F7C" w:rsidRPr="00965DAC" w:rsidRDefault="00D14F7C" w:rsidP="00D14F7C">
      <w:pPr>
        <w:jc w:val="both"/>
        <w:rPr>
          <w:rFonts w:ascii="Times New Roman" w:hAnsi="Times New Roman"/>
          <w:sz w:val="24"/>
          <w:szCs w:val="24"/>
          <w:lang w:val="lv-LV"/>
        </w:rPr>
      </w:pPr>
      <w:r w:rsidRPr="00A97D76">
        <w:rPr>
          <w:b/>
          <w:iCs/>
          <w:color w:val="7030A0"/>
          <w:sz w:val="24"/>
          <w:szCs w:val="24"/>
          <w:lang w:val="lv-LV" w:eastAsia="ru-RU"/>
        </w:rPr>
        <w:t>Lai piedalītos konferencē</w:t>
      </w:r>
      <w:r w:rsidRPr="00A97D76">
        <w:rPr>
          <w:sz w:val="24"/>
          <w:szCs w:val="24"/>
          <w:lang w:val="lv-LV"/>
        </w:rPr>
        <w:t xml:space="preserve">, </w:t>
      </w:r>
      <w:r w:rsidRPr="00A97D76">
        <w:rPr>
          <w:b/>
          <w:bCs/>
          <w:sz w:val="24"/>
          <w:szCs w:val="24"/>
          <w:lang w:val="lv-LV"/>
        </w:rPr>
        <w:t>līdz 2022. gada 5. decembrim</w:t>
      </w:r>
      <w:r w:rsidRPr="00A97D76">
        <w:rPr>
          <w:sz w:val="24"/>
          <w:szCs w:val="24"/>
          <w:lang w:val="lv-LV"/>
        </w:rPr>
        <w:t xml:space="preserve"> jā</w:t>
      </w:r>
      <w:r w:rsidR="00DA20FF" w:rsidRPr="00A97D76">
        <w:rPr>
          <w:sz w:val="24"/>
          <w:szCs w:val="24"/>
          <w:lang w:val="lv-LV"/>
        </w:rPr>
        <w:t>piereģistrējas sistēmā</w:t>
      </w:r>
      <w:r w:rsidR="00965DAC" w:rsidRPr="00A97D76">
        <w:rPr>
          <w:sz w:val="24"/>
          <w:szCs w:val="24"/>
          <w:lang w:val="lv-LV"/>
        </w:rPr>
        <w:t xml:space="preserve"> </w:t>
      </w:r>
      <w:hyperlink r:id="rId19" w:history="1">
        <w:r w:rsidR="00965DAC" w:rsidRPr="00A97D76">
          <w:rPr>
            <w:rStyle w:val="a3"/>
            <w:rFonts w:ascii="Calibri" w:eastAsia="Times New Roman" w:hAnsi="Calibri" w:cs="Calibri"/>
            <w:sz w:val="24"/>
            <w:szCs w:val="24"/>
            <w:lang w:val="lv-LV"/>
          </w:rPr>
          <w:t>https://free.bsa.edu.lv/</w:t>
        </w:r>
      </w:hyperlink>
      <w:r w:rsidR="00965DAC" w:rsidRPr="00A97D76">
        <w:rPr>
          <w:rFonts w:ascii="Calibri" w:eastAsia="Times New Roman" w:hAnsi="Calibri" w:cs="Calibri"/>
          <w:sz w:val="24"/>
          <w:szCs w:val="24"/>
          <w:lang w:val="lv-LV"/>
        </w:rPr>
        <w:t xml:space="preserve"> (</w:t>
      </w:r>
      <w:r w:rsidR="009B744E">
        <w:rPr>
          <w:rFonts w:ascii="Calibri" w:eastAsia="Times New Roman" w:hAnsi="Calibri" w:cs="Calibri"/>
          <w:sz w:val="24"/>
          <w:szCs w:val="24"/>
          <w:lang w:val="lv-LV"/>
        </w:rPr>
        <w:t>skat. 1. pielikumu</w:t>
      </w:r>
      <w:r w:rsidR="00E30F70">
        <w:rPr>
          <w:rFonts w:ascii="Calibri" w:eastAsia="Times New Roman" w:hAnsi="Calibri" w:cs="Calibri"/>
          <w:sz w:val="24"/>
          <w:szCs w:val="24"/>
          <w:lang w:val="lv-LV"/>
        </w:rPr>
        <w:t>).</w:t>
      </w:r>
    </w:p>
    <w:p w14:paraId="205E921E" w14:textId="05725AF5" w:rsidR="00D14F7C" w:rsidRDefault="00D14F7C" w:rsidP="00D14F7C">
      <w:pPr>
        <w:spacing w:line="276" w:lineRule="auto"/>
        <w:jc w:val="both"/>
        <w:rPr>
          <w:sz w:val="24"/>
          <w:szCs w:val="24"/>
          <w:lang w:val="lv-LV"/>
        </w:rPr>
      </w:pPr>
      <w:r w:rsidRPr="00965DAC">
        <w:rPr>
          <w:b/>
          <w:bCs/>
          <w:color w:val="7030A0"/>
          <w:sz w:val="24"/>
          <w:szCs w:val="24"/>
          <w:lang w:val="lv-LV"/>
        </w:rPr>
        <w:t>Raksts</w:t>
      </w:r>
      <w:r w:rsidRPr="00965DAC">
        <w:rPr>
          <w:sz w:val="24"/>
          <w:szCs w:val="24"/>
          <w:lang w:val="lv-LV"/>
        </w:rPr>
        <w:t xml:space="preserve">, kas noformēts atbilstoši izvirzītajām prasībām, </w:t>
      </w:r>
      <w:r w:rsidR="00DF5A41" w:rsidRPr="00A92DF4">
        <w:rPr>
          <w:bCs/>
          <w:sz w:val="24"/>
          <w:szCs w:val="24"/>
          <w:lang w:val="lv-LV"/>
        </w:rPr>
        <w:t>jāiesniedz</w:t>
      </w:r>
      <w:r w:rsidR="00DF5A41" w:rsidRPr="00965DAC">
        <w:rPr>
          <w:b/>
          <w:bCs/>
          <w:sz w:val="24"/>
          <w:szCs w:val="24"/>
          <w:lang w:val="lv-LV"/>
        </w:rPr>
        <w:t xml:space="preserve"> līdz 2022. gada </w:t>
      </w:r>
      <w:r w:rsidRPr="00965DAC">
        <w:rPr>
          <w:b/>
          <w:bCs/>
          <w:sz w:val="24"/>
          <w:szCs w:val="24"/>
          <w:lang w:val="lv-LV"/>
        </w:rPr>
        <w:t>9. decembrim</w:t>
      </w:r>
      <w:r w:rsidRPr="00965DAC">
        <w:rPr>
          <w:sz w:val="24"/>
          <w:szCs w:val="24"/>
          <w:lang w:val="lv-LV"/>
        </w:rPr>
        <w:t xml:space="preserve">. </w:t>
      </w:r>
    </w:p>
    <w:p w14:paraId="0945B156" w14:textId="77777777" w:rsidR="008641A8" w:rsidRPr="00965DAC" w:rsidRDefault="008641A8" w:rsidP="008641A8">
      <w:pPr>
        <w:spacing w:line="276" w:lineRule="auto"/>
        <w:jc w:val="both"/>
        <w:rPr>
          <w:sz w:val="24"/>
          <w:szCs w:val="24"/>
          <w:lang w:val="lv-LV"/>
        </w:rPr>
      </w:pPr>
      <w:r w:rsidRPr="00A97D76">
        <w:rPr>
          <w:b/>
          <w:bCs/>
          <w:sz w:val="24"/>
          <w:szCs w:val="24"/>
          <w:lang w:val="lv-LV"/>
        </w:rPr>
        <w:t>Maģistranti un doktoranti</w:t>
      </w:r>
      <w:r w:rsidRPr="00A97D76">
        <w:rPr>
          <w:sz w:val="24"/>
          <w:szCs w:val="24"/>
          <w:lang w:val="lv-LV"/>
        </w:rPr>
        <w:t xml:space="preserve"> iesniedz rakstu, pievienojot zinātniskā vadītāja recenziju! Darbi, kas nav noformēti atbilstoši raksta prasībām, netiks publicēti!</w:t>
      </w:r>
    </w:p>
    <w:p w14:paraId="13E8AC8A" w14:textId="77777777" w:rsidR="008641A8" w:rsidRPr="00965DAC" w:rsidRDefault="008641A8" w:rsidP="00D14F7C">
      <w:pPr>
        <w:spacing w:line="276" w:lineRule="auto"/>
        <w:jc w:val="both"/>
        <w:rPr>
          <w:sz w:val="24"/>
          <w:szCs w:val="24"/>
          <w:lang w:val="lv-LV"/>
        </w:rPr>
      </w:pPr>
    </w:p>
    <w:p w14:paraId="44C63A93" w14:textId="0F093B0C" w:rsidR="00D14F7C" w:rsidRPr="00965DAC" w:rsidRDefault="00D14F7C" w:rsidP="00D14F7C">
      <w:pPr>
        <w:spacing w:line="276" w:lineRule="auto"/>
        <w:jc w:val="both"/>
        <w:rPr>
          <w:color w:val="C00000"/>
          <w:sz w:val="24"/>
          <w:szCs w:val="24"/>
          <w:lang w:val="lv-LV"/>
        </w:rPr>
      </w:pPr>
      <w:r w:rsidRPr="00965DAC">
        <w:rPr>
          <w:noProof/>
          <w:sz w:val="24"/>
          <w:szCs w:val="24"/>
          <w:lang w:val="lv-LV" w:eastAsia="lv-LV"/>
        </w:rPr>
        <mc:AlternateContent>
          <mc:Choice Requires="wps">
            <w:drawing>
              <wp:anchor distT="0" distB="0" distL="114300" distR="114300" simplePos="0" relativeHeight="251678720" behindDoc="0" locked="0" layoutInCell="1" allowOverlap="1" wp14:anchorId="1B35BE40" wp14:editId="77D57BD4">
                <wp:simplePos x="0" y="0"/>
                <wp:positionH relativeFrom="margin">
                  <wp:posOffset>-1748</wp:posOffset>
                </wp:positionH>
                <wp:positionV relativeFrom="paragraph">
                  <wp:posOffset>39010</wp:posOffset>
                </wp:positionV>
                <wp:extent cx="5404861" cy="394970"/>
                <wp:effectExtent l="0" t="0" r="24765" b="241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4861" cy="394970"/>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D2BB2" id="Rectangle 5" o:spid="_x0000_s1026" style="position:absolute;margin-left:-.15pt;margin-top:3.05pt;width:425.6pt;height:31.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" filled="f" strokecolor="#c00000">
                <w10:wrap anchorx="margin"/>
              </v:rect>
            </w:pict>
          </mc:Fallback>
        </mc:AlternateContent>
      </w:r>
      <w:r w:rsidRPr="00965DAC">
        <w:rPr>
          <w:color w:val="C00000"/>
          <w:sz w:val="24"/>
          <w:szCs w:val="24"/>
          <w:lang w:val="lv-LV"/>
        </w:rPr>
        <w:br/>
        <w:t xml:space="preserve">  Raksta nosaukumā jābūt autora uzvārdam latīņu burtiem (piem.“Ivanovs</w:t>
      </w:r>
      <w:r w:rsidR="00CA7BD5">
        <w:rPr>
          <w:color w:val="C00000"/>
          <w:sz w:val="24"/>
          <w:szCs w:val="24"/>
          <w:lang w:val="lv-LV"/>
        </w:rPr>
        <w:t>-ARTICLE</w:t>
      </w:r>
      <w:r w:rsidRPr="00965DAC">
        <w:rPr>
          <w:color w:val="C00000"/>
          <w:sz w:val="24"/>
          <w:szCs w:val="24"/>
          <w:lang w:val="lv-LV"/>
        </w:rPr>
        <w:t>”).</w:t>
      </w:r>
    </w:p>
    <w:p w14:paraId="03C1E7EE" w14:textId="57790A60" w:rsidR="001E4B43" w:rsidRPr="00463202" w:rsidRDefault="001E4B43">
      <w:pPr>
        <w:rPr>
          <w:rFonts w:ascii="Times New Roman" w:eastAsia="Times New Roman" w:hAnsi="Times New Roman" w:cs="Times New Roman"/>
          <w:b/>
          <w:iCs/>
          <w:color w:val="7030A0"/>
          <w:sz w:val="24"/>
          <w:szCs w:val="24"/>
          <w:lang w:val="lv-LV" w:eastAsia="ru-RU"/>
        </w:rPr>
      </w:pPr>
      <w:r w:rsidRPr="00965DAC">
        <w:rPr>
          <w:rFonts w:ascii="Times New Roman" w:hAnsi="Times New Roman"/>
          <w:b/>
          <w:iCs/>
          <w:color w:val="7030A0"/>
          <w:sz w:val="24"/>
          <w:szCs w:val="24"/>
          <w:lang w:val="lv-LV"/>
        </w:rPr>
        <w:br w:type="page"/>
      </w:r>
    </w:p>
    <w:p w14:paraId="598FDD84" w14:textId="77777777" w:rsidR="00D14F7C" w:rsidRPr="00965DAC" w:rsidRDefault="00D14F7C" w:rsidP="00D14F7C">
      <w:pPr>
        <w:pStyle w:val="a4"/>
        <w:spacing w:line="276" w:lineRule="auto"/>
        <w:rPr>
          <w:rFonts w:ascii="Times New Roman" w:hAnsi="Times New Roman"/>
          <w:b/>
          <w:iCs/>
          <w:color w:val="7030A0"/>
          <w:sz w:val="24"/>
          <w:szCs w:val="24"/>
          <w:lang w:val="lv-LV"/>
        </w:rPr>
      </w:pPr>
    </w:p>
    <w:p w14:paraId="40EB56B9" w14:textId="3AD0DBF6" w:rsidR="00D14F7C" w:rsidRPr="005E0466" w:rsidRDefault="00BF796B" w:rsidP="00D14F7C">
      <w:pPr>
        <w:spacing w:line="276" w:lineRule="auto"/>
        <w:jc w:val="both"/>
        <w:rPr>
          <w:sz w:val="24"/>
          <w:szCs w:val="24"/>
          <w:lang w:val="lv-LV"/>
        </w:rPr>
      </w:pPr>
      <w:r w:rsidRPr="00BF796B">
        <w:rPr>
          <w:b/>
          <w:bCs/>
          <w:color w:val="7030A0"/>
          <w:sz w:val="24"/>
          <w:szCs w:val="24"/>
          <w:lang w:val="lv-LV"/>
        </w:rPr>
        <w:t>Dalības maksa</w:t>
      </w:r>
      <w:r w:rsidR="00DA20FF" w:rsidRPr="00965DAC">
        <w:rPr>
          <w:b/>
          <w:bCs/>
          <w:color w:val="7030A0"/>
          <w:sz w:val="24"/>
          <w:szCs w:val="24"/>
          <w:lang w:val="lv-LV"/>
        </w:rPr>
        <w:t>:</w:t>
      </w:r>
      <w:r w:rsidR="00D14F7C" w:rsidRPr="00965DAC">
        <w:rPr>
          <w:sz w:val="24"/>
          <w:szCs w:val="24"/>
          <w:lang w:val="lv-LV"/>
        </w:rPr>
        <w:t xml:space="preserve"> </w:t>
      </w:r>
      <w:r w:rsidR="00DA20FF" w:rsidRPr="00961866">
        <w:rPr>
          <w:b/>
          <w:sz w:val="24"/>
          <w:szCs w:val="24"/>
          <w:lang w:val="lv-LV"/>
        </w:rPr>
        <w:t>10</w:t>
      </w:r>
      <w:r w:rsidR="00DA20FF" w:rsidRPr="00961866">
        <w:rPr>
          <w:sz w:val="24"/>
          <w:szCs w:val="24"/>
          <w:lang w:val="lv-LV"/>
        </w:rPr>
        <w:t xml:space="preserve"> </w:t>
      </w:r>
      <w:r w:rsidR="00486DAC" w:rsidRPr="00961866">
        <w:rPr>
          <w:b/>
          <w:sz w:val="24"/>
          <w:szCs w:val="24"/>
          <w:lang w:val="lv-LV"/>
        </w:rPr>
        <w:t xml:space="preserve">EUR </w:t>
      </w:r>
      <w:r w:rsidR="00AA41A3">
        <w:rPr>
          <w:sz w:val="24"/>
          <w:szCs w:val="24"/>
          <w:lang w:val="lv-LV"/>
        </w:rPr>
        <w:t>par raksta publicēšanu konferences rakstu krājumā</w:t>
      </w:r>
      <w:r w:rsidR="00D14F7C" w:rsidRPr="00961866">
        <w:rPr>
          <w:sz w:val="24"/>
          <w:szCs w:val="24"/>
          <w:lang w:val="lv-LV"/>
        </w:rPr>
        <w:t>.</w:t>
      </w:r>
    </w:p>
    <w:p w14:paraId="69090A53" w14:textId="7993398A" w:rsidR="00486DAC" w:rsidRPr="00486DAC" w:rsidRDefault="00AA41A3" w:rsidP="00D14F7C">
      <w:pPr>
        <w:spacing w:line="276" w:lineRule="auto"/>
        <w:jc w:val="both"/>
        <w:rPr>
          <w:rFonts w:ascii="Times New Roman" w:hAnsi="Times New Roman"/>
          <w:sz w:val="24"/>
          <w:szCs w:val="24"/>
          <w:lang w:val="lv-LV"/>
        </w:rPr>
      </w:pPr>
      <w:r w:rsidRPr="00BF796B">
        <w:rPr>
          <w:b/>
          <w:bCs/>
          <w:color w:val="7030A0"/>
          <w:sz w:val="24"/>
          <w:szCs w:val="24"/>
          <w:lang w:val="lv-LV"/>
        </w:rPr>
        <w:t>Dalības maksa</w:t>
      </w:r>
      <w:r w:rsidR="00486DAC">
        <w:rPr>
          <w:sz w:val="24"/>
          <w:szCs w:val="24"/>
          <w:lang w:val="lv-LV"/>
        </w:rPr>
        <w:t xml:space="preserve"> </w:t>
      </w:r>
      <w:r w:rsidR="00486DAC" w:rsidRPr="00486DAC">
        <w:rPr>
          <w:sz w:val="24"/>
          <w:szCs w:val="24"/>
          <w:lang w:val="lv-LV"/>
        </w:rPr>
        <w:t>BSA un augstskolu-līdzorganizatoru pasniedzēj</w:t>
      </w:r>
      <w:r w:rsidR="00486DAC">
        <w:rPr>
          <w:sz w:val="24"/>
          <w:szCs w:val="24"/>
          <w:lang w:val="lv-LV"/>
        </w:rPr>
        <w:t>i</w:t>
      </w:r>
      <w:r w:rsidR="00486DAC" w:rsidRPr="00486DAC">
        <w:rPr>
          <w:sz w:val="24"/>
          <w:szCs w:val="24"/>
          <w:lang w:val="lv-LV"/>
        </w:rPr>
        <w:t>em, doktorantiem un maģistrantiem</w:t>
      </w:r>
      <w:r w:rsidR="00486DAC" w:rsidRPr="00AA41A3">
        <w:rPr>
          <w:sz w:val="24"/>
          <w:szCs w:val="24"/>
          <w:lang w:val="lv-LV"/>
        </w:rPr>
        <w:t xml:space="preserve">: </w:t>
      </w:r>
      <w:r w:rsidR="00486DAC" w:rsidRPr="00486DAC">
        <w:rPr>
          <w:b/>
          <w:sz w:val="24"/>
          <w:szCs w:val="24"/>
          <w:lang w:val="lv-LV"/>
        </w:rPr>
        <w:t>5 EUR</w:t>
      </w:r>
      <w:r>
        <w:rPr>
          <w:sz w:val="24"/>
          <w:szCs w:val="24"/>
          <w:lang w:val="lv-LV"/>
        </w:rPr>
        <w:t xml:space="preserve"> par raksta publicēšanu konferences rakstu krājumā.</w:t>
      </w:r>
    </w:p>
    <w:p w14:paraId="61161D31" w14:textId="77777777" w:rsidR="00D14F7C" w:rsidRPr="00965DAC" w:rsidRDefault="00D14F7C" w:rsidP="00D14F7C">
      <w:pPr>
        <w:spacing w:line="276" w:lineRule="auto"/>
        <w:jc w:val="both"/>
        <w:rPr>
          <w:b/>
          <w:bCs/>
          <w:color w:val="7030A0"/>
          <w:sz w:val="24"/>
          <w:szCs w:val="24"/>
          <w:lang w:val="lv-LV"/>
        </w:rPr>
      </w:pPr>
      <w:r w:rsidRPr="00965DAC">
        <w:rPr>
          <w:b/>
          <w:bCs/>
          <w:color w:val="7030A0"/>
          <w:sz w:val="24"/>
          <w:szCs w:val="24"/>
          <w:lang w:val="lv-LV"/>
        </w:rPr>
        <w:t>Rekvizīti:</w:t>
      </w:r>
    </w:p>
    <w:p w14:paraId="286ACD99" w14:textId="77777777" w:rsidR="00D14F7C" w:rsidRPr="00965DAC" w:rsidRDefault="00D14F7C" w:rsidP="00D14F7C">
      <w:pPr>
        <w:spacing w:line="276" w:lineRule="auto"/>
        <w:jc w:val="both"/>
        <w:rPr>
          <w:sz w:val="24"/>
          <w:szCs w:val="24"/>
          <w:lang w:val="lv-LV"/>
        </w:rPr>
      </w:pPr>
      <w:r w:rsidRPr="00965DAC">
        <w:rPr>
          <w:sz w:val="24"/>
          <w:szCs w:val="24"/>
          <w:lang w:val="lv-LV"/>
        </w:rPr>
        <w:t>SIA „BALTIJAS STARPTAUTISKĀ AKADĒMIJA”</w:t>
      </w:r>
    </w:p>
    <w:p w14:paraId="245E3688" w14:textId="77777777" w:rsidR="00D14F7C" w:rsidRPr="00965DAC" w:rsidRDefault="00D14F7C" w:rsidP="00D14F7C">
      <w:pPr>
        <w:spacing w:line="276" w:lineRule="auto"/>
        <w:jc w:val="both"/>
        <w:rPr>
          <w:sz w:val="24"/>
          <w:szCs w:val="24"/>
          <w:lang w:val="lv-LV"/>
        </w:rPr>
      </w:pPr>
      <w:r w:rsidRPr="00965DAC">
        <w:rPr>
          <w:sz w:val="24"/>
          <w:szCs w:val="24"/>
          <w:lang w:val="lv-LV"/>
        </w:rPr>
        <w:t>Reģ. № LV 40003101808</w:t>
      </w:r>
    </w:p>
    <w:p w14:paraId="4D5ED1FA" w14:textId="77777777" w:rsidR="00D14F7C" w:rsidRPr="00965DAC" w:rsidRDefault="00D14F7C" w:rsidP="00D14F7C">
      <w:pPr>
        <w:spacing w:line="276" w:lineRule="auto"/>
        <w:jc w:val="both"/>
        <w:rPr>
          <w:sz w:val="24"/>
          <w:szCs w:val="24"/>
          <w:lang w:val="lv-LV"/>
        </w:rPr>
      </w:pPr>
      <w:r w:rsidRPr="00965DAC">
        <w:rPr>
          <w:sz w:val="24"/>
          <w:szCs w:val="24"/>
          <w:lang w:val="lv-LV"/>
        </w:rPr>
        <w:t>А/S Swedbank</w:t>
      </w:r>
    </w:p>
    <w:p w14:paraId="49AA441A" w14:textId="77777777" w:rsidR="00D14F7C" w:rsidRPr="00965DAC" w:rsidRDefault="00D14F7C" w:rsidP="00D14F7C">
      <w:pPr>
        <w:spacing w:line="276" w:lineRule="auto"/>
        <w:jc w:val="both"/>
        <w:rPr>
          <w:sz w:val="24"/>
          <w:szCs w:val="24"/>
          <w:lang w:val="lv-LV"/>
        </w:rPr>
      </w:pPr>
      <w:r w:rsidRPr="00965DAC">
        <w:rPr>
          <w:sz w:val="24"/>
          <w:szCs w:val="24"/>
          <w:lang w:val="lv-LV"/>
        </w:rPr>
        <w:t>Konts: LV68HABA0551003662871</w:t>
      </w:r>
    </w:p>
    <w:p w14:paraId="240382F2" w14:textId="54F24D32" w:rsidR="00D14F7C" w:rsidRPr="00965DAC" w:rsidRDefault="001E4B43" w:rsidP="00D14F7C">
      <w:pPr>
        <w:spacing w:line="276" w:lineRule="auto"/>
        <w:jc w:val="both"/>
        <w:rPr>
          <w:sz w:val="24"/>
          <w:szCs w:val="24"/>
          <w:lang w:val="lv-LV"/>
        </w:rPr>
      </w:pPr>
      <w:r w:rsidRPr="00965DAC">
        <w:rPr>
          <w:noProof/>
          <w:sz w:val="24"/>
          <w:szCs w:val="24"/>
          <w:lang w:val="lv-LV" w:eastAsia="lv-LV"/>
        </w:rPr>
        <mc:AlternateContent>
          <mc:Choice Requires="wps">
            <w:drawing>
              <wp:anchor distT="0" distB="0" distL="114300" distR="114300" simplePos="0" relativeHeight="251683840" behindDoc="0" locked="0" layoutInCell="1" allowOverlap="1" wp14:anchorId="6C841800" wp14:editId="7BDBA106">
                <wp:simplePos x="0" y="0"/>
                <wp:positionH relativeFrom="column">
                  <wp:posOffset>-116006</wp:posOffset>
                </wp:positionH>
                <wp:positionV relativeFrom="paragraph">
                  <wp:posOffset>222117</wp:posOffset>
                </wp:positionV>
                <wp:extent cx="6429375" cy="6953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695325"/>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58372" id="Rectangle 8" o:spid="_x0000_s1026" style="position:absolute;margin-left:-9.15pt;margin-top:17.5pt;width:506.2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" filled="f" strokecolor="#c00000"/>
            </w:pict>
          </mc:Fallback>
        </mc:AlternateContent>
      </w:r>
      <w:r w:rsidR="00D14F7C" w:rsidRPr="00965DAC">
        <w:rPr>
          <w:sz w:val="24"/>
          <w:szCs w:val="24"/>
          <w:lang w:val="lv-LV"/>
        </w:rPr>
        <w:t>SWIFT: HABALV22</w:t>
      </w:r>
    </w:p>
    <w:p w14:paraId="2FAF819B" w14:textId="2AFB0D01" w:rsidR="00C9274C" w:rsidRPr="00965DAC" w:rsidRDefault="00D14F7C" w:rsidP="00C9274C">
      <w:pPr>
        <w:spacing w:line="276" w:lineRule="auto"/>
        <w:jc w:val="both"/>
        <w:rPr>
          <w:color w:val="C00000"/>
          <w:sz w:val="24"/>
          <w:szCs w:val="24"/>
          <w:lang w:val="lv-LV"/>
        </w:rPr>
      </w:pPr>
      <w:r w:rsidRPr="00965DAC">
        <w:rPr>
          <w:b/>
          <w:i/>
          <w:color w:val="C00000"/>
          <w:sz w:val="24"/>
          <w:szCs w:val="24"/>
          <w:lang w:val="lv-LV"/>
        </w:rPr>
        <w:t>Maksājuma mērķis:</w:t>
      </w:r>
      <w:r w:rsidRPr="005E0466">
        <w:rPr>
          <w:b/>
          <w:i/>
          <w:color w:val="C00000"/>
          <w:sz w:val="24"/>
          <w:szCs w:val="24"/>
          <w:lang w:val="lv-LV"/>
        </w:rPr>
        <w:t xml:space="preserve"> </w:t>
      </w:r>
      <w:r w:rsidRPr="00965DAC">
        <w:rPr>
          <w:color w:val="C00000"/>
          <w:sz w:val="24"/>
          <w:szCs w:val="24"/>
          <w:lang w:val="lv-LV"/>
        </w:rPr>
        <w:t xml:space="preserve">konferences dalībnieka vārds, uzvārds, personas kods (dzimšanas datums) un </w:t>
      </w:r>
      <w:r w:rsidR="00DF5A41" w:rsidRPr="00965DAC">
        <w:rPr>
          <w:color w:val="C00000"/>
          <w:sz w:val="24"/>
          <w:szCs w:val="24"/>
          <w:lang w:val="lv-LV"/>
        </w:rPr>
        <w:t xml:space="preserve"> “Konference </w:t>
      </w:r>
      <w:r w:rsidR="00C9274C" w:rsidRPr="00965DAC">
        <w:rPr>
          <w:color w:val="C00000"/>
          <w:sz w:val="24"/>
          <w:szCs w:val="24"/>
          <w:lang w:val="lv-LV"/>
        </w:rPr>
        <w:t>9.-10.12.2022”.</w:t>
      </w:r>
    </w:p>
    <w:p w14:paraId="6B549861" w14:textId="77777777" w:rsidR="00C9274C" w:rsidRPr="00965DAC" w:rsidRDefault="00C9274C" w:rsidP="00C9274C">
      <w:pPr>
        <w:spacing w:line="276" w:lineRule="auto"/>
        <w:jc w:val="both"/>
        <w:rPr>
          <w:color w:val="C00000"/>
          <w:sz w:val="24"/>
          <w:szCs w:val="24"/>
          <w:lang w:val="lv-LV"/>
        </w:rPr>
      </w:pPr>
    </w:p>
    <w:p w14:paraId="4EBC9101" w14:textId="77777777" w:rsidR="008641A8" w:rsidRPr="00965DAC" w:rsidRDefault="008641A8" w:rsidP="008641A8">
      <w:pPr>
        <w:spacing w:line="276" w:lineRule="auto"/>
        <w:jc w:val="both"/>
        <w:rPr>
          <w:sz w:val="24"/>
          <w:szCs w:val="24"/>
          <w:lang w:val="lv-LV"/>
        </w:rPr>
      </w:pPr>
      <w:r w:rsidRPr="006951AC">
        <w:rPr>
          <w:b/>
          <w:bCs/>
          <w:color w:val="7030A0"/>
          <w:sz w:val="24"/>
          <w:szCs w:val="24"/>
          <w:lang w:val="lv-LV"/>
        </w:rPr>
        <w:t>Katrs dokuments jānoformē atsevišķā failā, faila nosaukumā jānorāda uzvārds:</w:t>
      </w:r>
      <w:r w:rsidRPr="006951AC">
        <w:rPr>
          <w:sz w:val="24"/>
          <w:szCs w:val="24"/>
          <w:lang w:val="lv-LV"/>
        </w:rPr>
        <w:t xml:space="preserve"> Ivanovs - ARTICLE, Ivanovs - PAYMENT.</w:t>
      </w:r>
    </w:p>
    <w:p w14:paraId="3977A06B" w14:textId="77777777" w:rsidR="00D14F7C" w:rsidRDefault="00D14F7C" w:rsidP="00D14F7C">
      <w:pPr>
        <w:pStyle w:val="a4"/>
        <w:spacing w:line="276" w:lineRule="auto"/>
        <w:rPr>
          <w:rFonts w:ascii="Times New Roman" w:hAnsi="Times New Roman"/>
          <w:b/>
          <w:iCs/>
          <w:color w:val="7030A0"/>
          <w:sz w:val="24"/>
          <w:szCs w:val="24"/>
          <w:lang w:val="lv-LV"/>
        </w:rPr>
      </w:pPr>
    </w:p>
    <w:p w14:paraId="3D51EB09" w14:textId="20C9A7D9" w:rsidR="00D14F7C" w:rsidRDefault="00870CB6" w:rsidP="00D14F7C">
      <w:pPr>
        <w:pStyle w:val="a4"/>
        <w:spacing w:line="276" w:lineRule="auto"/>
        <w:rPr>
          <w:rFonts w:asciiTheme="minorHAnsi" w:hAnsiTheme="minorHAnsi" w:cstheme="minorHAnsi"/>
          <w:b/>
          <w:iCs/>
          <w:color w:val="7030A0"/>
          <w:sz w:val="24"/>
          <w:szCs w:val="24"/>
          <w:lang w:val="lv-LV"/>
        </w:rPr>
      </w:pPr>
      <w:r w:rsidRPr="00965DAC">
        <w:rPr>
          <w:rFonts w:asciiTheme="minorHAnsi" w:hAnsiTheme="minorHAnsi" w:cstheme="minorHAnsi"/>
          <w:b/>
          <w:iCs/>
          <w:color w:val="7030A0"/>
          <w:sz w:val="24"/>
          <w:szCs w:val="24"/>
          <w:lang w:val="lv-LV"/>
        </w:rPr>
        <w:t xml:space="preserve">KONFERENCES </w:t>
      </w:r>
      <w:r>
        <w:rPr>
          <w:rFonts w:asciiTheme="minorHAnsi" w:hAnsiTheme="minorHAnsi" w:cstheme="minorHAnsi"/>
          <w:b/>
          <w:iCs/>
          <w:color w:val="7030A0"/>
          <w:sz w:val="24"/>
          <w:szCs w:val="24"/>
          <w:lang w:val="lv-LV"/>
        </w:rPr>
        <w:t>ORGKOMITEJA</w:t>
      </w:r>
    </w:p>
    <w:p w14:paraId="7338FDE8" w14:textId="6C61D688" w:rsidR="00870CB6" w:rsidRDefault="00870CB6" w:rsidP="00D14F7C">
      <w:pPr>
        <w:pStyle w:val="a4"/>
        <w:spacing w:line="276" w:lineRule="auto"/>
        <w:rPr>
          <w:rFonts w:asciiTheme="minorHAnsi" w:hAnsiTheme="minorHAnsi" w:cstheme="minorHAnsi"/>
          <w:b/>
          <w:iCs/>
          <w:color w:val="7030A0"/>
          <w:sz w:val="24"/>
          <w:szCs w:val="24"/>
          <w:lang w:val="lv-LV"/>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70CB6" w14:paraId="4F455162" w14:textId="77777777" w:rsidTr="00870CB6">
        <w:tc>
          <w:tcPr>
            <w:tcW w:w="4819" w:type="dxa"/>
          </w:tcPr>
          <w:p w14:paraId="13F60F62" w14:textId="77777777" w:rsidR="00870CB6" w:rsidRDefault="00870CB6" w:rsidP="00424E83">
            <w:pPr>
              <w:pStyle w:val="a4"/>
              <w:spacing w:line="276" w:lineRule="auto"/>
              <w:rPr>
                <w:rFonts w:asciiTheme="minorHAnsi" w:hAnsiTheme="minorHAnsi" w:cstheme="minorHAnsi"/>
                <w:b/>
                <w:iCs/>
                <w:color w:val="7030A0"/>
                <w:sz w:val="24"/>
                <w:szCs w:val="24"/>
                <w:lang w:val="lv-LV"/>
              </w:rPr>
            </w:pPr>
            <w:r>
              <w:rPr>
                <w:rFonts w:asciiTheme="minorHAnsi" w:hAnsiTheme="minorHAnsi" w:cstheme="minorHAnsi"/>
                <w:b/>
                <w:iCs/>
                <w:color w:val="7030A0"/>
                <w:sz w:val="24"/>
                <w:szCs w:val="24"/>
                <w:lang w:val="lv-LV"/>
              </w:rPr>
              <w:t>Konferences orgkomitejas priekšsēdētājs</w:t>
            </w:r>
          </w:p>
          <w:p w14:paraId="28FD9CBA" w14:textId="3D4B7C8D" w:rsidR="00870CB6" w:rsidRDefault="00870CB6" w:rsidP="00870CB6">
            <w:pPr>
              <w:pStyle w:val="a4"/>
              <w:spacing w:line="276" w:lineRule="auto"/>
              <w:jc w:val="center"/>
              <w:rPr>
                <w:rFonts w:asciiTheme="minorHAnsi" w:hAnsiTheme="minorHAnsi" w:cstheme="minorHAnsi"/>
                <w:b/>
                <w:iCs/>
                <w:color w:val="7030A0"/>
                <w:sz w:val="24"/>
                <w:szCs w:val="24"/>
                <w:lang w:val="lv-LV"/>
              </w:rPr>
            </w:pPr>
          </w:p>
        </w:tc>
        <w:tc>
          <w:tcPr>
            <w:tcW w:w="4819" w:type="dxa"/>
          </w:tcPr>
          <w:p w14:paraId="2472481D" w14:textId="29F5886A" w:rsidR="00870CB6" w:rsidRDefault="00870CB6" w:rsidP="00424E83">
            <w:pPr>
              <w:pStyle w:val="a4"/>
              <w:spacing w:line="276" w:lineRule="auto"/>
              <w:rPr>
                <w:rFonts w:asciiTheme="minorHAnsi" w:hAnsiTheme="minorHAnsi" w:cstheme="minorHAnsi"/>
                <w:b/>
                <w:iCs/>
                <w:color w:val="7030A0"/>
                <w:sz w:val="24"/>
                <w:szCs w:val="24"/>
                <w:lang w:val="lv-LV"/>
              </w:rPr>
            </w:pPr>
            <w:r>
              <w:rPr>
                <w:rFonts w:asciiTheme="minorHAnsi" w:hAnsiTheme="minorHAnsi" w:cstheme="minorHAnsi"/>
                <w:b/>
                <w:iCs/>
                <w:color w:val="7030A0"/>
                <w:sz w:val="24"/>
                <w:szCs w:val="24"/>
                <w:lang w:val="lv-LV"/>
              </w:rPr>
              <w:t>Koordinatore</w:t>
            </w:r>
          </w:p>
        </w:tc>
      </w:tr>
      <w:tr w:rsidR="00870CB6" w14:paraId="0C3FC31D" w14:textId="77777777" w:rsidTr="00870CB6">
        <w:tc>
          <w:tcPr>
            <w:tcW w:w="4819" w:type="dxa"/>
          </w:tcPr>
          <w:p w14:paraId="3E842ADA" w14:textId="6718B2E5" w:rsidR="00424E83" w:rsidRDefault="00424E83" w:rsidP="00870CB6">
            <w:pPr>
              <w:rPr>
                <w:sz w:val="24"/>
                <w:szCs w:val="24"/>
                <w:lang w:val="lv-LV"/>
              </w:rPr>
            </w:pPr>
            <w:r>
              <w:rPr>
                <w:sz w:val="24"/>
                <w:szCs w:val="24"/>
                <w:lang w:val="lv-LV"/>
              </w:rPr>
              <w:t>A</w:t>
            </w:r>
            <w:r w:rsidRPr="00965DAC">
              <w:rPr>
                <w:sz w:val="24"/>
                <w:szCs w:val="24"/>
                <w:lang w:val="lv-LV"/>
              </w:rPr>
              <w:t>soc. prof. Vladislavs Volkovs</w:t>
            </w:r>
            <w:r>
              <w:rPr>
                <w:sz w:val="24"/>
                <w:szCs w:val="24"/>
                <w:lang w:val="lv-LV"/>
              </w:rPr>
              <w:t>,</w:t>
            </w:r>
          </w:p>
          <w:p w14:paraId="050923F6" w14:textId="78425DAE" w:rsidR="00870CB6" w:rsidRPr="00965DAC" w:rsidRDefault="00870CB6" w:rsidP="00870CB6">
            <w:pPr>
              <w:rPr>
                <w:rFonts w:ascii="Times New Roman" w:hAnsi="Times New Roman"/>
                <w:sz w:val="24"/>
                <w:szCs w:val="24"/>
                <w:lang w:val="lv-LV"/>
              </w:rPr>
            </w:pPr>
            <w:r w:rsidRPr="00870CB6">
              <w:rPr>
                <w:sz w:val="24"/>
                <w:szCs w:val="24"/>
                <w:lang w:val="lv-LV"/>
              </w:rPr>
              <w:t xml:space="preserve">BSA </w:t>
            </w:r>
            <w:r w:rsidR="009C33DF">
              <w:rPr>
                <w:sz w:val="24"/>
                <w:szCs w:val="24"/>
                <w:lang w:val="lv-LV"/>
              </w:rPr>
              <w:t>zinātniskā darba prorektors</w:t>
            </w:r>
            <w:r w:rsidRPr="00965DAC">
              <w:rPr>
                <w:sz w:val="24"/>
                <w:szCs w:val="24"/>
                <w:lang w:val="lv-LV"/>
              </w:rPr>
              <w:t xml:space="preserve"> </w:t>
            </w:r>
            <w:hyperlink r:id="rId20" w:history="1">
              <w:r w:rsidRPr="00965DAC">
                <w:rPr>
                  <w:rStyle w:val="a3"/>
                  <w:sz w:val="24"/>
                  <w:szCs w:val="24"/>
                  <w:lang w:val="lv-LV"/>
                </w:rPr>
                <w:t>vladislavs.volkovs@bsa.edu.lv</w:t>
              </w:r>
            </w:hyperlink>
            <w:r w:rsidRPr="00965DAC">
              <w:rPr>
                <w:sz w:val="24"/>
                <w:szCs w:val="24"/>
                <w:lang w:val="lv-LV"/>
              </w:rPr>
              <w:t xml:space="preserve"> </w:t>
            </w:r>
          </w:p>
          <w:p w14:paraId="027D6726" w14:textId="77777777" w:rsidR="00870CB6" w:rsidRDefault="00870CB6" w:rsidP="00870CB6">
            <w:pPr>
              <w:pStyle w:val="a4"/>
              <w:spacing w:line="276" w:lineRule="auto"/>
              <w:rPr>
                <w:rFonts w:asciiTheme="minorHAnsi" w:hAnsiTheme="minorHAnsi" w:cstheme="minorHAnsi"/>
                <w:b/>
                <w:iCs/>
                <w:color w:val="7030A0"/>
                <w:sz w:val="24"/>
                <w:szCs w:val="24"/>
                <w:lang w:val="lv-LV"/>
              </w:rPr>
            </w:pPr>
          </w:p>
        </w:tc>
        <w:tc>
          <w:tcPr>
            <w:tcW w:w="4819" w:type="dxa"/>
          </w:tcPr>
          <w:p w14:paraId="7F8CE05E" w14:textId="283B6EE9" w:rsidR="00424E83" w:rsidRDefault="00424E83" w:rsidP="00870CB6">
            <w:pPr>
              <w:rPr>
                <w:sz w:val="24"/>
                <w:szCs w:val="24"/>
                <w:lang w:val="lv-LV"/>
              </w:rPr>
            </w:pPr>
            <w:r w:rsidRPr="00965DAC">
              <w:rPr>
                <w:sz w:val="24"/>
                <w:szCs w:val="24"/>
                <w:lang w:val="lv-LV"/>
              </w:rPr>
              <w:t>Marija Tkačukova</w:t>
            </w:r>
            <w:r>
              <w:rPr>
                <w:sz w:val="24"/>
                <w:szCs w:val="24"/>
                <w:lang w:val="lv-LV"/>
              </w:rPr>
              <w:t>,</w:t>
            </w:r>
          </w:p>
          <w:p w14:paraId="79463B2F" w14:textId="18F5F645" w:rsidR="00424E83" w:rsidRPr="00424E83" w:rsidRDefault="00424E83" w:rsidP="00870CB6">
            <w:pPr>
              <w:rPr>
                <w:sz w:val="24"/>
                <w:szCs w:val="24"/>
                <w:lang w:val="lv-LV"/>
              </w:rPr>
            </w:pPr>
            <w:r w:rsidRPr="00424E83">
              <w:rPr>
                <w:sz w:val="24"/>
                <w:szCs w:val="24"/>
                <w:lang w:val="lv-LV"/>
              </w:rPr>
              <w:t>z</w:t>
            </w:r>
            <w:r w:rsidR="00870CB6" w:rsidRPr="00424E83">
              <w:rPr>
                <w:sz w:val="24"/>
                <w:szCs w:val="24"/>
                <w:lang w:val="lv-LV"/>
              </w:rPr>
              <w:t xml:space="preserve">inātniskā darba prorektora palīgs </w:t>
            </w:r>
          </w:p>
          <w:p w14:paraId="298EC440" w14:textId="7EA43CC2" w:rsidR="00870CB6" w:rsidRPr="00424E83" w:rsidRDefault="00870CB6" w:rsidP="00870CB6">
            <w:pPr>
              <w:rPr>
                <w:sz w:val="24"/>
                <w:szCs w:val="24"/>
                <w:lang w:val="lv-LV"/>
              </w:rPr>
            </w:pPr>
            <w:r w:rsidRPr="00424E83">
              <w:rPr>
                <w:rStyle w:val="a3"/>
                <w:sz w:val="24"/>
                <w:szCs w:val="24"/>
                <w:lang w:val="lv-LV"/>
              </w:rPr>
              <w:t>konference@bsa.edu.lv</w:t>
            </w:r>
            <w:r w:rsidRPr="00424E83">
              <w:rPr>
                <w:sz w:val="24"/>
                <w:szCs w:val="24"/>
                <w:lang w:val="lv-LV"/>
              </w:rPr>
              <w:t>, +37167100234</w:t>
            </w:r>
          </w:p>
          <w:p w14:paraId="1FEAC2CC" w14:textId="77777777" w:rsidR="00870CB6" w:rsidRPr="00870CB6" w:rsidRDefault="00870CB6" w:rsidP="00D14F7C">
            <w:pPr>
              <w:pStyle w:val="a4"/>
              <w:spacing w:line="276" w:lineRule="auto"/>
              <w:rPr>
                <w:rFonts w:asciiTheme="minorHAnsi" w:eastAsiaTheme="minorHAnsi" w:hAnsiTheme="minorHAnsi" w:cstheme="minorBidi"/>
                <w:sz w:val="24"/>
                <w:szCs w:val="24"/>
                <w:lang w:val="lv-LV" w:eastAsia="en-US"/>
              </w:rPr>
            </w:pPr>
          </w:p>
        </w:tc>
      </w:tr>
    </w:tbl>
    <w:p w14:paraId="5BE63029" w14:textId="2481C280" w:rsidR="00870CB6" w:rsidRPr="00965DAC" w:rsidRDefault="00870CB6" w:rsidP="00D14F7C">
      <w:pPr>
        <w:pStyle w:val="a4"/>
        <w:spacing w:line="276" w:lineRule="auto"/>
        <w:rPr>
          <w:rFonts w:asciiTheme="minorHAnsi" w:hAnsiTheme="minorHAnsi" w:cstheme="minorHAnsi"/>
          <w:b/>
          <w:iCs/>
          <w:color w:val="7030A0"/>
          <w:sz w:val="24"/>
          <w:szCs w:val="24"/>
          <w:lang w:val="lv-LV"/>
        </w:rPr>
      </w:pPr>
    </w:p>
    <w:p w14:paraId="4B988299" w14:textId="2FA782F9" w:rsidR="00870CB6" w:rsidRDefault="00870CB6" w:rsidP="00D14F7C">
      <w:pPr>
        <w:rPr>
          <w:color w:val="000000"/>
          <w:sz w:val="24"/>
          <w:szCs w:val="24"/>
          <w:lang w:val="lv-LV"/>
        </w:rPr>
      </w:pPr>
    </w:p>
    <w:p w14:paraId="7EE252A7" w14:textId="24A9D624" w:rsidR="00870CB6" w:rsidRDefault="00870CB6" w:rsidP="00D14F7C">
      <w:pPr>
        <w:rPr>
          <w:color w:val="000000"/>
          <w:sz w:val="24"/>
          <w:szCs w:val="24"/>
          <w:lang w:val="lv-LV"/>
        </w:rPr>
      </w:pPr>
    </w:p>
    <w:p w14:paraId="0BBF8911" w14:textId="1D4947E8" w:rsidR="00D14F7C" w:rsidRPr="00965DAC" w:rsidRDefault="00870CB6" w:rsidP="00D14F7C">
      <w:pPr>
        <w:rPr>
          <w:color w:val="000000"/>
          <w:sz w:val="24"/>
          <w:szCs w:val="24"/>
          <w:lang w:val="lv-LV"/>
        </w:rPr>
      </w:pPr>
      <w:r w:rsidRPr="00965DAC">
        <w:rPr>
          <w:noProof/>
          <w:sz w:val="24"/>
          <w:szCs w:val="24"/>
          <w:lang w:val="lv-LV" w:eastAsia="lv-LV"/>
        </w:rPr>
        <mc:AlternateContent>
          <mc:Choice Requires="wps">
            <w:drawing>
              <wp:anchor distT="45720" distB="45720" distL="114300" distR="114300" simplePos="0" relativeHeight="251681792" behindDoc="0" locked="0" layoutInCell="1" allowOverlap="1" wp14:anchorId="1B8C8CF3" wp14:editId="2C4B8A12">
                <wp:simplePos x="0" y="0"/>
                <wp:positionH relativeFrom="margin">
                  <wp:posOffset>-187325</wp:posOffset>
                </wp:positionH>
                <wp:positionV relativeFrom="margin">
                  <wp:posOffset>7480681</wp:posOffset>
                </wp:positionV>
                <wp:extent cx="6530340" cy="495300"/>
                <wp:effectExtent l="0" t="0" r="2286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95300"/>
                        </a:xfrm>
                        <a:prstGeom prst="rect">
                          <a:avLst/>
                        </a:prstGeom>
                        <a:solidFill>
                          <a:srgbClr val="FFFFFF"/>
                        </a:solidFill>
                        <a:ln w="9525">
                          <a:solidFill>
                            <a:srgbClr val="000000"/>
                          </a:solidFill>
                          <a:miter lim="800000"/>
                          <a:headEnd/>
                          <a:tailEnd/>
                        </a:ln>
                      </wps:spPr>
                      <wps:txbx>
                        <w:txbxContent>
                          <w:p w14:paraId="1AAB03D1" w14:textId="77777777" w:rsidR="00D14F7C" w:rsidRPr="00965DAC" w:rsidRDefault="00D14F7C" w:rsidP="00D14F7C">
                            <w:pPr>
                              <w:jc w:val="both"/>
                              <w:rPr>
                                <w:rFonts w:ascii="Calibri" w:hAnsi="Calibri" w:cs="Calibri"/>
                                <w:i/>
                                <w:sz w:val="24"/>
                                <w:szCs w:val="24"/>
                              </w:rPr>
                            </w:pPr>
                            <w:r w:rsidRPr="00965DAC">
                              <w:rPr>
                                <w:rFonts w:ascii="Calibri" w:hAnsi="Calibri" w:cs="Calibri"/>
                                <w:i/>
                                <w:sz w:val="24"/>
                                <w:szCs w:val="24"/>
                              </w:rPr>
                              <w:t>* Līdz 2019. gadam ieskaitot konferences nosaukums “Transformācijas procesi tiesību, reģionālas ekonomikas un ekonomiskas politikas jomās: aktuālās ekonomiski– politiskās un tiesiskās problēmas.”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8C8CF3" id="_x0000_t202" coordsize="21600,21600" o:spt="202" path="m,l,21600r21600,l21600,xe">
                <v:stroke joinstyle="miter"/>
                <v:path gradientshapeok="t" o:connecttype="rect"/>
              </v:shapetype>
              <v:shape id="Text Box 6" o:spid="_x0000_s1026" type="#_x0000_t202" style="position:absolute;margin-left:-14.75pt;margin-top:589.05pt;width:514.2pt;height:3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">
                <v:textbox>
                  <w:txbxContent>
                    <w:p w14:paraId="1AAB03D1" w14:textId="77777777" w:rsidR="00D14F7C" w:rsidRPr="00965DAC" w:rsidRDefault="00D14F7C" w:rsidP="00D14F7C">
                      <w:pPr>
                        <w:jc w:val="both"/>
                        <w:rPr>
                          <w:rFonts w:ascii="Calibri" w:hAnsi="Calibri" w:cs="Calibri"/>
                          <w:i/>
                          <w:sz w:val="24"/>
                          <w:szCs w:val="24"/>
                        </w:rPr>
                      </w:pPr>
                      <w:r w:rsidRPr="00965DAC">
                        <w:rPr>
                          <w:rFonts w:ascii="Calibri" w:hAnsi="Calibri" w:cs="Calibri"/>
                          <w:i/>
                          <w:sz w:val="24"/>
                          <w:szCs w:val="24"/>
                        </w:rPr>
                        <w:t>* Līdz 2019. gadam ieskaitot konferences nosaukums “Transformācijas procesi tiesību, reģionālas ekonomikas un ekonomiskas politikas jomās: aktuālās ekonomiski– politiskās un tiesiskās problēmas.”</w:t>
                      </w:r>
                    </w:p>
                  </w:txbxContent>
                </v:textbox>
                <w10:wrap type="square" anchorx="margin" anchory="margin"/>
              </v:shape>
            </w:pict>
          </mc:Fallback>
        </mc:AlternateContent>
      </w:r>
    </w:p>
    <w:p w14:paraId="4DF9FB36" w14:textId="4A1A422D" w:rsidR="00D14F7C" w:rsidRPr="00965DAC" w:rsidRDefault="00D14F7C" w:rsidP="00D14F7C">
      <w:pPr>
        <w:rPr>
          <w:color w:val="000000"/>
          <w:sz w:val="24"/>
          <w:szCs w:val="24"/>
          <w:lang w:val="lv-LV"/>
        </w:rPr>
      </w:pPr>
      <w:r w:rsidRPr="00965DAC">
        <w:rPr>
          <w:color w:val="000000"/>
          <w:sz w:val="24"/>
          <w:szCs w:val="24"/>
          <w:lang w:val="lv-LV"/>
        </w:rPr>
        <w:br w:type="page"/>
      </w:r>
    </w:p>
    <w:p w14:paraId="198260C6" w14:textId="78B044D6" w:rsidR="00D14F7C" w:rsidRDefault="00D14F7C" w:rsidP="00D14F7C">
      <w:pPr>
        <w:jc w:val="right"/>
        <w:rPr>
          <w:lang w:val="lv-LV"/>
        </w:rPr>
      </w:pPr>
      <w:r w:rsidRPr="001D2759">
        <w:rPr>
          <w:lang w:val="lv-LV"/>
        </w:rPr>
        <w:lastRenderedPageBreak/>
        <w:t>pielikums Nr.1</w:t>
      </w:r>
    </w:p>
    <w:p w14:paraId="1D4DC6C5" w14:textId="77777777" w:rsidR="008234BE" w:rsidRDefault="008234BE" w:rsidP="00D14F7C">
      <w:pPr>
        <w:jc w:val="right"/>
        <w:rPr>
          <w:lang w:val="lv-LV"/>
        </w:rPr>
      </w:pPr>
    </w:p>
    <w:p w14:paraId="39C75150" w14:textId="7F22DAE6" w:rsidR="00D14F7C" w:rsidRPr="00506E88" w:rsidRDefault="009B744E" w:rsidP="00D14F7C">
      <w:pPr>
        <w:rPr>
          <w:rFonts w:ascii="Calibri" w:hAnsi="Calibri" w:cs="Calibri"/>
          <w:b/>
          <w:sz w:val="24"/>
          <w:szCs w:val="24"/>
          <w:lang w:val="lv-LV"/>
        </w:rPr>
      </w:pPr>
      <w:r w:rsidRPr="00506E88">
        <w:rPr>
          <w:rFonts w:ascii="Calibri" w:hAnsi="Calibri" w:cs="Calibri"/>
          <w:sz w:val="24"/>
          <w:szCs w:val="24"/>
          <w:lang w:val="lv-LV"/>
        </w:rPr>
        <w:t xml:space="preserve">Lai piedalītos konferencē, </w:t>
      </w:r>
      <w:r w:rsidRPr="00506E88">
        <w:rPr>
          <w:rFonts w:ascii="Calibri" w:hAnsi="Calibri" w:cs="Calibri"/>
          <w:b/>
          <w:bCs/>
          <w:sz w:val="24"/>
          <w:szCs w:val="24"/>
          <w:lang w:val="lv-LV"/>
        </w:rPr>
        <w:t>līdz 2022. gada 5. decembrim</w:t>
      </w:r>
      <w:r w:rsidRPr="00506E88">
        <w:rPr>
          <w:rFonts w:ascii="Calibri" w:hAnsi="Calibri" w:cs="Calibri"/>
          <w:sz w:val="24"/>
          <w:szCs w:val="24"/>
          <w:lang w:val="lv-LV"/>
        </w:rPr>
        <w:t xml:space="preserve"> jāpiereģistrējas sistēmā </w:t>
      </w:r>
      <w:hyperlink r:id="rId21" w:history="1">
        <w:r w:rsidRPr="00506E88">
          <w:rPr>
            <w:rStyle w:val="a3"/>
            <w:rFonts w:ascii="Calibri" w:eastAsia="Times New Roman" w:hAnsi="Calibri" w:cs="Calibri"/>
            <w:sz w:val="24"/>
            <w:szCs w:val="24"/>
            <w:lang w:val="lv-LV"/>
          </w:rPr>
          <w:t>https://free.bsa.edu.lv/</w:t>
        </w:r>
      </w:hyperlink>
    </w:p>
    <w:p w14:paraId="0623D09D" w14:textId="573593EB" w:rsidR="00D14F7C" w:rsidRPr="00506E88" w:rsidRDefault="009B744E" w:rsidP="009B744E">
      <w:pPr>
        <w:pStyle w:val="ac"/>
        <w:numPr>
          <w:ilvl w:val="0"/>
          <w:numId w:val="6"/>
        </w:numPr>
        <w:rPr>
          <w:rFonts w:ascii="Calibri" w:hAnsi="Calibri" w:cs="Calibri"/>
          <w:sz w:val="24"/>
          <w:szCs w:val="24"/>
          <w:lang w:val="lv-LV"/>
        </w:rPr>
      </w:pPr>
      <w:r w:rsidRPr="00506E88">
        <w:rPr>
          <w:rFonts w:ascii="Calibri" w:hAnsi="Calibri" w:cs="Calibri"/>
          <w:sz w:val="24"/>
          <w:szCs w:val="24"/>
          <w:lang w:val="lv-LV"/>
        </w:rPr>
        <w:t>Nospiediet “Register new user”, aizpildiet formu.</w:t>
      </w:r>
    </w:p>
    <w:p w14:paraId="3D78937C" w14:textId="635C878F" w:rsidR="009B744E" w:rsidRPr="00506E88" w:rsidRDefault="00506E88" w:rsidP="009B744E">
      <w:pPr>
        <w:pStyle w:val="ac"/>
        <w:numPr>
          <w:ilvl w:val="0"/>
          <w:numId w:val="6"/>
        </w:numPr>
        <w:rPr>
          <w:rFonts w:ascii="Calibri" w:hAnsi="Calibri" w:cs="Calibri"/>
          <w:sz w:val="24"/>
          <w:szCs w:val="24"/>
          <w:lang w:val="lv-LV"/>
        </w:rPr>
      </w:pPr>
      <w:r>
        <w:rPr>
          <w:rFonts w:ascii="Calibri" w:hAnsi="Calibri" w:cs="Calibri"/>
          <w:sz w:val="24"/>
          <w:szCs w:val="24"/>
          <w:lang w:val="lv-LV"/>
        </w:rPr>
        <w:t>Lai aktivē</w:t>
      </w:r>
      <w:r w:rsidR="009B744E" w:rsidRPr="00506E88">
        <w:rPr>
          <w:rFonts w:ascii="Calibri" w:hAnsi="Calibri" w:cs="Calibri"/>
          <w:sz w:val="24"/>
          <w:szCs w:val="24"/>
          <w:lang w:val="lv-LV"/>
        </w:rPr>
        <w:t>tu profi</w:t>
      </w:r>
      <w:r>
        <w:rPr>
          <w:rFonts w:ascii="Calibri" w:hAnsi="Calibri" w:cs="Calibri"/>
          <w:sz w:val="24"/>
          <w:szCs w:val="24"/>
          <w:lang w:val="lv-LV"/>
        </w:rPr>
        <w:t>lu, izmantojiet uz e-pastu nosūtī</w:t>
      </w:r>
      <w:r w:rsidR="009B744E" w:rsidRPr="00506E88">
        <w:rPr>
          <w:rFonts w:ascii="Calibri" w:hAnsi="Calibri" w:cs="Calibri"/>
          <w:sz w:val="24"/>
          <w:szCs w:val="24"/>
          <w:lang w:val="lv-LV"/>
        </w:rPr>
        <w:t>to saiti.</w:t>
      </w:r>
    </w:p>
    <w:p w14:paraId="16C8AD63" w14:textId="2B8E4645" w:rsidR="008234BE" w:rsidRPr="00506E88" w:rsidRDefault="009B744E" w:rsidP="009B744E">
      <w:pPr>
        <w:pStyle w:val="ac"/>
        <w:numPr>
          <w:ilvl w:val="0"/>
          <w:numId w:val="6"/>
        </w:numPr>
        <w:rPr>
          <w:rFonts w:ascii="Calibri" w:hAnsi="Calibri" w:cs="Calibri"/>
          <w:sz w:val="24"/>
          <w:szCs w:val="24"/>
          <w:lang w:val="lv-LV"/>
        </w:rPr>
      </w:pPr>
      <w:r w:rsidRPr="00506E88">
        <w:rPr>
          <w:rFonts w:ascii="Calibri" w:hAnsi="Calibri" w:cs="Calibri"/>
          <w:sz w:val="24"/>
          <w:szCs w:val="24"/>
          <w:lang w:val="lv-LV"/>
        </w:rPr>
        <w:t>Sad</w:t>
      </w:r>
      <w:r w:rsidR="00506E88">
        <w:rPr>
          <w:rFonts w:ascii="Calibri" w:hAnsi="Calibri" w:cs="Calibri"/>
          <w:sz w:val="24"/>
          <w:szCs w:val="24"/>
          <w:lang w:val="lv-LV"/>
        </w:rPr>
        <w:t>aļā</w:t>
      </w:r>
      <w:r w:rsidRPr="00506E88">
        <w:rPr>
          <w:rFonts w:ascii="Calibri" w:hAnsi="Calibri" w:cs="Calibri"/>
          <w:sz w:val="24"/>
          <w:szCs w:val="24"/>
          <w:lang w:val="lv-LV"/>
        </w:rPr>
        <w:t xml:space="preserve"> “Current conferences</w:t>
      </w:r>
      <w:r w:rsidR="008234BE" w:rsidRPr="00506E88">
        <w:rPr>
          <w:rFonts w:ascii="Calibri" w:hAnsi="Calibri" w:cs="Calibri"/>
          <w:sz w:val="24"/>
          <w:szCs w:val="24"/>
          <w:lang w:val="lv-LV"/>
        </w:rPr>
        <w:t>” nospiediet uz konfe</w:t>
      </w:r>
      <w:r w:rsidR="00506E88">
        <w:rPr>
          <w:rFonts w:ascii="Calibri" w:hAnsi="Calibri" w:cs="Calibri"/>
          <w:sz w:val="24"/>
          <w:szCs w:val="24"/>
          <w:lang w:val="lv-LV"/>
        </w:rPr>
        <w:t>rences nosaukumu, būs redzamas sadaļas ar informā</w:t>
      </w:r>
      <w:r w:rsidR="008234BE" w:rsidRPr="00506E88">
        <w:rPr>
          <w:rFonts w:ascii="Calibri" w:hAnsi="Calibri" w:cs="Calibri"/>
          <w:sz w:val="24"/>
          <w:szCs w:val="24"/>
          <w:lang w:val="lv-LV"/>
        </w:rPr>
        <w:t>ciju par konferenci.</w:t>
      </w:r>
    </w:p>
    <w:p w14:paraId="405608BE" w14:textId="1473EC9C" w:rsidR="009B744E" w:rsidRDefault="00506E88" w:rsidP="009B744E">
      <w:pPr>
        <w:pStyle w:val="ac"/>
        <w:numPr>
          <w:ilvl w:val="0"/>
          <w:numId w:val="6"/>
        </w:numPr>
        <w:rPr>
          <w:rFonts w:ascii="Calibri" w:hAnsi="Calibri" w:cs="Calibri"/>
          <w:sz w:val="24"/>
          <w:szCs w:val="24"/>
          <w:lang w:val="lv-LV"/>
        </w:rPr>
      </w:pPr>
      <w:r>
        <w:rPr>
          <w:rFonts w:ascii="Calibri" w:hAnsi="Calibri" w:cs="Calibri"/>
          <w:sz w:val="24"/>
          <w:szCs w:val="24"/>
          <w:lang w:val="lv-LV"/>
        </w:rPr>
        <w:t>Lejā bū</w:t>
      </w:r>
      <w:r w:rsidR="008234BE" w:rsidRPr="00506E88">
        <w:rPr>
          <w:rFonts w:ascii="Calibri" w:hAnsi="Calibri" w:cs="Calibri"/>
          <w:sz w:val="24"/>
          <w:szCs w:val="24"/>
          <w:lang w:val="lv-LV"/>
        </w:rPr>
        <w:t xml:space="preserve">s redzama poga </w:t>
      </w:r>
      <w:r w:rsidRPr="00506E88">
        <w:rPr>
          <w:rFonts w:ascii="Calibri" w:hAnsi="Calibri" w:cs="Calibri"/>
          <w:sz w:val="24"/>
          <w:szCs w:val="24"/>
          <w:lang w:val="lv-LV"/>
        </w:rPr>
        <w:t>“</w:t>
      </w:r>
      <w:r w:rsidR="008234BE" w:rsidRPr="00506E88">
        <w:rPr>
          <w:rFonts w:ascii="Calibri" w:hAnsi="Calibri" w:cs="Calibri"/>
          <w:sz w:val="24"/>
          <w:szCs w:val="24"/>
          <w:lang w:val="lv-LV"/>
        </w:rPr>
        <w:t>Participate</w:t>
      </w:r>
      <w:r w:rsidRPr="00506E88">
        <w:rPr>
          <w:rFonts w:ascii="Calibri" w:hAnsi="Calibri" w:cs="Calibri"/>
          <w:sz w:val="24"/>
          <w:szCs w:val="24"/>
          <w:lang w:val="lv-LV"/>
        </w:rPr>
        <w:t>”</w:t>
      </w:r>
      <w:r w:rsidR="008234BE" w:rsidRPr="00506E88">
        <w:rPr>
          <w:rFonts w:ascii="Calibri" w:hAnsi="Calibri" w:cs="Calibri"/>
          <w:sz w:val="24"/>
          <w:szCs w:val="24"/>
          <w:lang w:val="lv-LV"/>
        </w:rPr>
        <w:t>, vajag to nospiest</w:t>
      </w:r>
      <w:r w:rsidR="009B744E" w:rsidRPr="00506E88">
        <w:rPr>
          <w:rFonts w:ascii="Calibri" w:hAnsi="Calibri" w:cs="Calibri"/>
          <w:sz w:val="24"/>
          <w:szCs w:val="24"/>
          <w:lang w:val="lv-LV"/>
        </w:rPr>
        <w:t xml:space="preserve"> </w:t>
      </w:r>
      <w:r>
        <w:rPr>
          <w:rFonts w:ascii="Calibri" w:hAnsi="Calibri" w:cs="Calibri"/>
          <w:sz w:val="24"/>
          <w:szCs w:val="24"/>
          <w:lang w:val="lv-LV"/>
        </w:rPr>
        <w:t>un aizpildīt formu, uzrakstīt raksta nosaukumu,</w:t>
      </w:r>
      <w:r w:rsidR="00A92DF4">
        <w:rPr>
          <w:rFonts w:ascii="Calibri" w:hAnsi="Calibri" w:cs="Calibri"/>
          <w:sz w:val="24"/>
          <w:szCs w:val="24"/>
          <w:lang w:val="lv-LV"/>
        </w:rPr>
        <w:t xml:space="preserve"> augšupielādēt anotāciju un norādī</w:t>
      </w:r>
      <w:r w:rsidR="008234BE" w:rsidRPr="00506E88">
        <w:rPr>
          <w:rFonts w:ascii="Calibri" w:hAnsi="Calibri" w:cs="Calibri"/>
          <w:sz w:val="24"/>
          <w:szCs w:val="24"/>
          <w:lang w:val="lv-LV"/>
        </w:rPr>
        <w:t>t konferences sekciju.</w:t>
      </w:r>
    </w:p>
    <w:p w14:paraId="3E48CF8C" w14:textId="6278530C" w:rsidR="009554D0" w:rsidRPr="00506E88" w:rsidRDefault="009554D0" w:rsidP="009B744E">
      <w:pPr>
        <w:pStyle w:val="ac"/>
        <w:numPr>
          <w:ilvl w:val="0"/>
          <w:numId w:val="6"/>
        </w:numPr>
        <w:rPr>
          <w:rFonts w:ascii="Calibri" w:hAnsi="Calibri" w:cs="Calibri"/>
          <w:sz w:val="24"/>
          <w:szCs w:val="24"/>
          <w:lang w:val="lv-LV"/>
        </w:rPr>
      </w:pPr>
      <w:r>
        <w:rPr>
          <w:rFonts w:ascii="Calibri" w:hAnsi="Calibri" w:cs="Calibri"/>
          <w:sz w:val="24"/>
          <w:szCs w:val="24"/>
          <w:lang w:val="lv-LV"/>
        </w:rPr>
        <w:t xml:space="preserve">Augšupielādējiet maksājuma uzdevumu sadaļā </w:t>
      </w:r>
      <w:r w:rsidRPr="00506E88">
        <w:rPr>
          <w:rFonts w:ascii="Calibri" w:hAnsi="Calibri" w:cs="Calibri"/>
          <w:bCs/>
          <w:sz w:val="24"/>
          <w:szCs w:val="24"/>
          <w:lang w:val="lv-LV"/>
        </w:rPr>
        <w:t xml:space="preserve">“My papers” </w:t>
      </w:r>
      <w:r w:rsidRPr="00A92DF4">
        <w:rPr>
          <w:rFonts w:ascii="Calibri" w:hAnsi="Calibri" w:cs="Calibri"/>
          <w:b/>
          <w:bCs/>
          <w:sz w:val="24"/>
          <w:szCs w:val="24"/>
          <w:lang w:val="lv-LV"/>
        </w:rPr>
        <w:t xml:space="preserve">līdz </w:t>
      </w:r>
      <w:r w:rsidRPr="00506E88">
        <w:rPr>
          <w:rFonts w:ascii="Calibri" w:hAnsi="Calibri" w:cs="Calibri"/>
          <w:b/>
          <w:bCs/>
          <w:sz w:val="24"/>
          <w:szCs w:val="24"/>
          <w:lang w:val="lv-LV"/>
        </w:rPr>
        <w:t xml:space="preserve">2022. gada </w:t>
      </w:r>
      <w:r>
        <w:rPr>
          <w:rFonts w:ascii="Calibri" w:hAnsi="Calibri" w:cs="Calibri"/>
          <w:b/>
          <w:bCs/>
          <w:sz w:val="24"/>
          <w:szCs w:val="24"/>
          <w:lang w:val="lv-LV"/>
        </w:rPr>
        <w:t>5</w:t>
      </w:r>
      <w:r w:rsidRPr="00506E88">
        <w:rPr>
          <w:rFonts w:ascii="Calibri" w:hAnsi="Calibri" w:cs="Calibri"/>
          <w:b/>
          <w:bCs/>
          <w:sz w:val="24"/>
          <w:szCs w:val="24"/>
          <w:lang w:val="lv-LV"/>
        </w:rPr>
        <w:t>. decembrim</w:t>
      </w:r>
      <w:r>
        <w:rPr>
          <w:rFonts w:ascii="Calibri" w:hAnsi="Calibri" w:cs="Calibri"/>
          <w:b/>
          <w:bCs/>
          <w:sz w:val="24"/>
          <w:szCs w:val="24"/>
          <w:lang w:val="lv-LV"/>
        </w:rPr>
        <w:t>.</w:t>
      </w:r>
    </w:p>
    <w:p w14:paraId="05C15948" w14:textId="7EE0D065" w:rsidR="008234BE" w:rsidRPr="00506E88" w:rsidRDefault="00A92DF4" w:rsidP="009B744E">
      <w:pPr>
        <w:pStyle w:val="ac"/>
        <w:numPr>
          <w:ilvl w:val="0"/>
          <w:numId w:val="6"/>
        </w:numPr>
        <w:rPr>
          <w:rFonts w:ascii="Calibri" w:hAnsi="Calibri" w:cs="Calibri"/>
          <w:sz w:val="24"/>
          <w:szCs w:val="24"/>
          <w:lang w:val="lv-LV"/>
        </w:rPr>
      </w:pPr>
      <w:r>
        <w:rPr>
          <w:rFonts w:ascii="Calibri" w:hAnsi="Calibri" w:cs="Calibri"/>
          <w:bCs/>
          <w:sz w:val="24"/>
          <w:szCs w:val="24"/>
          <w:lang w:val="lv-LV"/>
        </w:rPr>
        <w:t>Augšupielādējiet</w:t>
      </w:r>
      <w:r w:rsidR="004625D6" w:rsidRPr="00506E88">
        <w:rPr>
          <w:rFonts w:ascii="Calibri" w:hAnsi="Calibri" w:cs="Calibri"/>
          <w:bCs/>
          <w:sz w:val="24"/>
          <w:szCs w:val="24"/>
          <w:lang w:val="lv-LV"/>
        </w:rPr>
        <w:t xml:space="preserve"> rakstu s</w:t>
      </w:r>
      <w:r w:rsidR="008234BE" w:rsidRPr="00506E88">
        <w:rPr>
          <w:rFonts w:ascii="Calibri" w:hAnsi="Calibri" w:cs="Calibri"/>
          <w:bCs/>
          <w:sz w:val="24"/>
          <w:szCs w:val="24"/>
          <w:lang w:val="lv-LV"/>
        </w:rPr>
        <w:t>ada</w:t>
      </w:r>
      <w:r>
        <w:rPr>
          <w:rFonts w:ascii="Calibri" w:hAnsi="Calibri" w:cs="Calibri"/>
          <w:bCs/>
          <w:sz w:val="24"/>
          <w:szCs w:val="24"/>
          <w:lang w:val="lv-LV"/>
        </w:rPr>
        <w:t>ļā</w:t>
      </w:r>
      <w:r w:rsidR="008234BE" w:rsidRPr="00506E88">
        <w:rPr>
          <w:rFonts w:ascii="Calibri" w:hAnsi="Calibri" w:cs="Calibri"/>
          <w:bCs/>
          <w:sz w:val="24"/>
          <w:szCs w:val="24"/>
          <w:lang w:val="lv-LV"/>
        </w:rPr>
        <w:t xml:space="preserve"> “My papers” </w:t>
      </w:r>
      <w:r w:rsidR="008234BE" w:rsidRPr="00A92DF4">
        <w:rPr>
          <w:rFonts w:ascii="Calibri" w:hAnsi="Calibri" w:cs="Calibri"/>
          <w:b/>
          <w:bCs/>
          <w:sz w:val="24"/>
          <w:szCs w:val="24"/>
          <w:lang w:val="lv-LV"/>
        </w:rPr>
        <w:t xml:space="preserve">līdz </w:t>
      </w:r>
      <w:r w:rsidR="008234BE" w:rsidRPr="00506E88">
        <w:rPr>
          <w:rFonts w:ascii="Calibri" w:hAnsi="Calibri" w:cs="Calibri"/>
          <w:b/>
          <w:bCs/>
          <w:sz w:val="24"/>
          <w:szCs w:val="24"/>
          <w:lang w:val="lv-LV"/>
        </w:rPr>
        <w:t>2022. gada 9. decembrim.</w:t>
      </w:r>
    </w:p>
    <w:p w14:paraId="4C6B400D" w14:textId="77777777" w:rsidR="00D14F7C" w:rsidRPr="00ED6945" w:rsidRDefault="00D14F7C" w:rsidP="00D14F7C">
      <w:pPr>
        <w:jc w:val="right"/>
        <w:rPr>
          <w:lang w:val="lv-LV"/>
        </w:rPr>
      </w:pPr>
      <w:r>
        <w:rPr>
          <w:lang w:val="lv-LV"/>
        </w:rPr>
        <w:br w:type="page"/>
      </w:r>
      <w:r>
        <w:rPr>
          <w:color w:val="000000"/>
          <w:lang w:val="lv-LV"/>
        </w:rPr>
        <w:lastRenderedPageBreak/>
        <w:t>pielikums Nr.2</w:t>
      </w:r>
    </w:p>
    <w:p w14:paraId="49851ACC" w14:textId="77777777" w:rsidR="00D14F7C" w:rsidRDefault="00D14F7C" w:rsidP="00D14F7C">
      <w:pPr>
        <w:rPr>
          <w:b/>
          <w:color w:val="7030A0"/>
          <w:lang w:val="lv-LV"/>
        </w:rPr>
      </w:pPr>
    </w:p>
    <w:p w14:paraId="1261E96A" w14:textId="77777777" w:rsidR="00D14F7C" w:rsidRDefault="00D14F7C" w:rsidP="00D14F7C">
      <w:pPr>
        <w:jc w:val="center"/>
        <w:rPr>
          <w:b/>
          <w:color w:val="7030A0"/>
          <w:sz w:val="28"/>
          <w:szCs w:val="28"/>
          <w:lang w:val="lv-LV"/>
        </w:rPr>
      </w:pPr>
      <w:r>
        <w:rPr>
          <w:b/>
          <w:color w:val="7030A0"/>
          <w:sz w:val="28"/>
          <w:szCs w:val="28"/>
          <w:lang w:val="lv-LV"/>
        </w:rPr>
        <w:t>Prasības raksta noformēšanai</w:t>
      </w:r>
    </w:p>
    <w:p w14:paraId="51445129" w14:textId="77777777" w:rsidR="00D14F7C" w:rsidRDefault="00D14F7C" w:rsidP="00D14F7C">
      <w:pPr>
        <w:jc w:val="both"/>
        <w:rPr>
          <w:sz w:val="28"/>
          <w:szCs w:val="28"/>
          <w:lang w:val="lv-LV"/>
        </w:rPr>
      </w:pPr>
    </w:p>
    <w:p w14:paraId="44EA80F0" w14:textId="77777777" w:rsidR="00D14F7C" w:rsidRDefault="00D14F7C" w:rsidP="00D14F7C">
      <w:pPr>
        <w:spacing w:line="276" w:lineRule="auto"/>
        <w:jc w:val="both"/>
        <w:rPr>
          <w:sz w:val="24"/>
          <w:szCs w:val="24"/>
          <w:lang w:val="lv-LV"/>
        </w:rPr>
      </w:pPr>
      <w:r>
        <w:rPr>
          <w:lang w:val="lv-LV"/>
        </w:rPr>
        <w:t>Veidojot publikāciju, jāievēro visas zemāk aprakstītas prasības.</w:t>
      </w:r>
    </w:p>
    <w:p w14:paraId="7361585E" w14:textId="77777777" w:rsidR="00D14F7C" w:rsidRDefault="00D14F7C" w:rsidP="00D14F7C">
      <w:pPr>
        <w:spacing w:line="276" w:lineRule="auto"/>
        <w:jc w:val="both"/>
        <w:rPr>
          <w:lang w:val="lv-LV"/>
        </w:rPr>
      </w:pPr>
      <w:r>
        <w:rPr>
          <w:b/>
          <w:lang w:val="lv-LV"/>
        </w:rPr>
        <w:t xml:space="preserve">1) </w:t>
      </w:r>
      <w:r>
        <w:rPr>
          <w:b/>
          <w:color w:val="7030A0"/>
          <w:lang w:val="lv-LV"/>
        </w:rPr>
        <w:t>Nosaukums:</w:t>
      </w:r>
      <w:r>
        <w:rPr>
          <w:b/>
          <w:lang w:val="lv-LV"/>
        </w:rPr>
        <w:t xml:space="preserve"> </w:t>
      </w:r>
      <w:r>
        <w:rPr>
          <w:lang w:val="lv-LV"/>
        </w:rPr>
        <w:t>šrifts — Times New Roman Bold, izmērs – 14 pt, izvietojums – centrēts.</w:t>
      </w:r>
    </w:p>
    <w:p w14:paraId="143CDFA8" w14:textId="716D2DDE" w:rsidR="00D14F7C" w:rsidRDefault="00D14F7C" w:rsidP="00D14F7C">
      <w:pPr>
        <w:spacing w:line="276" w:lineRule="auto"/>
        <w:jc w:val="both"/>
        <w:rPr>
          <w:lang w:val="lv-LV"/>
        </w:rPr>
      </w:pPr>
      <w:r>
        <w:rPr>
          <w:b/>
          <w:lang w:val="lv-LV"/>
        </w:rPr>
        <w:t xml:space="preserve">2) </w:t>
      </w:r>
      <w:r>
        <w:rPr>
          <w:b/>
          <w:color w:val="7030A0"/>
          <w:lang w:val="lv-LV"/>
        </w:rPr>
        <w:t>Informācija par autoru:</w:t>
      </w:r>
      <w:r>
        <w:rPr>
          <w:b/>
          <w:lang w:val="lv-LV"/>
        </w:rPr>
        <w:t xml:space="preserve"> </w:t>
      </w:r>
      <w:r>
        <w:rPr>
          <w:lang w:val="lv-LV"/>
        </w:rPr>
        <w:t>vārds, uzvārds (Times New Roman Bold, 12 pt, pa labi), valsts, universitāte, filiāle, studiju programma, e-pasts (12 pt, pa labi);</w:t>
      </w:r>
    </w:p>
    <w:p w14:paraId="7E5CFCAE" w14:textId="62BA1E51" w:rsidR="00D14F7C" w:rsidRDefault="00D14F7C" w:rsidP="00D14F7C">
      <w:pPr>
        <w:spacing w:line="276" w:lineRule="auto"/>
        <w:jc w:val="both"/>
        <w:rPr>
          <w:b/>
          <w:lang w:val="lv-LV"/>
        </w:rPr>
      </w:pPr>
      <w:r>
        <w:rPr>
          <w:b/>
          <w:lang w:val="lv-LV"/>
        </w:rPr>
        <w:t xml:space="preserve">3) </w:t>
      </w:r>
      <w:r>
        <w:rPr>
          <w:b/>
          <w:color w:val="7030A0"/>
          <w:lang w:val="lv-LV"/>
        </w:rPr>
        <w:t>Informācija par zinātnisko vadītāju:</w:t>
      </w:r>
      <w:r>
        <w:rPr>
          <w:b/>
          <w:lang w:val="lv-LV"/>
        </w:rPr>
        <w:t xml:space="preserve"> </w:t>
      </w:r>
      <w:r>
        <w:rPr>
          <w:lang w:val="lv-LV"/>
        </w:rPr>
        <w:t xml:space="preserve">akadēmiskais grāds, zinātniskais grāds/amats, vārds, uzvārds (Times New Roman, 12 pt, </w:t>
      </w:r>
      <w:r w:rsidR="008D1689">
        <w:rPr>
          <w:lang w:val="lv-LV"/>
        </w:rPr>
        <w:t>pa labi</w:t>
      </w:r>
      <w:r>
        <w:rPr>
          <w:lang w:val="lv-LV"/>
        </w:rPr>
        <w:t>).</w:t>
      </w:r>
    </w:p>
    <w:p w14:paraId="50569872" w14:textId="1118E7EA" w:rsidR="00D14F7C" w:rsidRPr="00086295" w:rsidRDefault="00D14F7C" w:rsidP="00D14F7C">
      <w:pPr>
        <w:spacing w:line="276" w:lineRule="auto"/>
        <w:jc w:val="both"/>
        <w:rPr>
          <w:b/>
          <w:lang w:val="lv-LV"/>
        </w:rPr>
      </w:pPr>
      <w:r>
        <w:rPr>
          <w:b/>
          <w:lang w:val="lv-LV"/>
        </w:rPr>
        <w:t xml:space="preserve">4) </w:t>
      </w:r>
      <w:r>
        <w:rPr>
          <w:b/>
          <w:color w:val="7030A0"/>
          <w:lang w:val="lv-LV"/>
        </w:rPr>
        <w:t>Anotācija:</w:t>
      </w:r>
      <w:r>
        <w:rPr>
          <w:b/>
          <w:lang w:val="lv-LV"/>
        </w:rPr>
        <w:t xml:space="preserve"> </w:t>
      </w:r>
      <w:r>
        <w:rPr>
          <w:lang w:val="lv-LV"/>
        </w:rPr>
        <w:t xml:space="preserve">fonts </w:t>
      </w:r>
      <w:r>
        <w:rPr>
          <w:b/>
          <w:lang w:val="lv-LV"/>
        </w:rPr>
        <w:t xml:space="preserve">– </w:t>
      </w:r>
      <w:r>
        <w:rPr>
          <w:lang w:val="lv-LV"/>
        </w:rPr>
        <w:t>Times New Roman Bold, izmērs – 10 pt (piezīme: angliski</w:t>
      </w:r>
      <w:r>
        <w:rPr>
          <w:b/>
          <w:lang w:val="lv-LV"/>
        </w:rPr>
        <w:t xml:space="preserve"> </w:t>
      </w:r>
      <w:r>
        <w:rPr>
          <w:lang w:val="lv-LV"/>
        </w:rPr>
        <w:t xml:space="preserve">– </w:t>
      </w:r>
      <w:r>
        <w:rPr>
          <w:i/>
          <w:lang w:val="lv-LV"/>
        </w:rPr>
        <w:t>Abstract</w:t>
      </w:r>
      <w:r>
        <w:rPr>
          <w:lang w:val="lv-LV"/>
        </w:rPr>
        <w:t>).</w:t>
      </w:r>
      <w:r>
        <w:rPr>
          <w:b/>
          <w:lang w:val="lv-LV"/>
        </w:rPr>
        <w:t xml:space="preserve"> Apjoms </w:t>
      </w:r>
      <w:r>
        <w:rPr>
          <w:lang w:val="lv-LV"/>
        </w:rPr>
        <w:t xml:space="preserve">- līdz 500 rakstzīmēm, ieskaitot atstarpes (Times New Roman, 10 pt). Anotācijas mērķis ir sniegt vispārēju priekšstatu par raksta saturu, tajā ir īsi jāatspoguļo ziņojuma mērķi, jānoformulē pētījuma problēma, jānosaka materiāla jauninājumi un jāuzraksta pamata secinājumi. Anotāciju raksta divās </w:t>
      </w:r>
      <w:r w:rsidRPr="00086295">
        <w:rPr>
          <w:lang w:val="lv-LV"/>
        </w:rPr>
        <w:t>valodās (</w:t>
      </w:r>
      <w:r w:rsidR="00501EEE" w:rsidRPr="00086295">
        <w:rPr>
          <w:lang w:val="lv-LV"/>
        </w:rPr>
        <w:t xml:space="preserve">angļu valodā </w:t>
      </w:r>
      <w:r w:rsidR="00501EEE">
        <w:rPr>
          <w:lang w:val="lv-LV"/>
        </w:rPr>
        <w:t xml:space="preserve">un </w:t>
      </w:r>
      <w:r w:rsidRPr="00086295">
        <w:rPr>
          <w:lang w:val="lv-LV"/>
        </w:rPr>
        <w:t>latvi</w:t>
      </w:r>
      <w:r w:rsidR="00501EEE">
        <w:rPr>
          <w:lang w:val="lv-LV"/>
        </w:rPr>
        <w:t>ešu/</w:t>
      </w:r>
      <w:r w:rsidR="008D1689" w:rsidRPr="00086295">
        <w:rPr>
          <w:lang w:val="lv-LV"/>
        </w:rPr>
        <w:t>krievu</w:t>
      </w:r>
      <w:r w:rsidR="00501EEE">
        <w:rPr>
          <w:lang w:val="lv-LV"/>
        </w:rPr>
        <w:t>/ukraiņu valodā</w:t>
      </w:r>
      <w:r w:rsidR="008D1689" w:rsidRPr="00086295">
        <w:rPr>
          <w:lang w:val="lv-LV"/>
        </w:rPr>
        <w:t>).</w:t>
      </w:r>
    </w:p>
    <w:p w14:paraId="2523235C" w14:textId="4A63FF98" w:rsidR="00D14F7C" w:rsidRDefault="00D14F7C" w:rsidP="00D14F7C">
      <w:pPr>
        <w:spacing w:line="276" w:lineRule="auto"/>
        <w:jc w:val="both"/>
        <w:rPr>
          <w:b/>
          <w:lang w:val="lv-LV"/>
        </w:rPr>
      </w:pPr>
      <w:r w:rsidRPr="00086295">
        <w:rPr>
          <w:b/>
          <w:lang w:val="lv-LV"/>
        </w:rPr>
        <w:t xml:space="preserve">5) </w:t>
      </w:r>
      <w:r w:rsidRPr="00086295">
        <w:rPr>
          <w:b/>
          <w:color w:val="7030A0"/>
          <w:lang w:val="lv-LV"/>
        </w:rPr>
        <w:t>Atslēgvārdi:</w:t>
      </w:r>
      <w:r w:rsidRPr="00086295">
        <w:rPr>
          <w:b/>
          <w:lang w:val="lv-LV"/>
        </w:rPr>
        <w:t xml:space="preserve"> </w:t>
      </w:r>
      <w:r w:rsidR="00537E1E">
        <w:rPr>
          <w:lang w:val="lv-LV"/>
        </w:rPr>
        <w:t>nosaukums – Atslēgvārdi (Key</w:t>
      </w:r>
      <w:r w:rsidRPr="00086295">
        <w:rPr>
          <w:lang w:val="lv-LV"/>
        </w:rPr>
        <w:t>words) (Times New Roman Bold, 10 pt), atsevišķā rin</w:t>
      </w:r>
      <w:r>
        <w:rPr>
          <w:lang w:val="lv-LV"/>
        </w:rPr>
        <w:t>dā alfabēta kārtībā nosaukt atslēgvārdus (ne vairāk par pieciem).</w:t>
      </w:r>
    </w:p>
    <w:p w14:paraId="50104102" w14:textId="053DA47B" w:rsidR="00D14F7C" w:rsidRDefault="00D14F7C" w:rsidP="00D14F7C">
      <w:pPr>
        <w:spacing w:line="276" w:lineRule="auto"/>
        <w:jc w:val="both"/>
        <w:rPr>
          <w:b/>
          <w:lang w:val="lv-LV"/>
        </w:rPr>
      </w:pPr>
      <w:r>
        <w:rPr>
          <w:b/>
          <w:lang w:val="lv-LV"/>
        </w:rPr>
        <w:t xml:space="preserve">6) </w:t>
      </w:r>
      <w:r>
        <w:rPr>
          <w:b/>
          <w:color w:val="7030A0"/>
          <w:lang w:val="lv-LV"/>
        </w:rPr>
        <w:t>Teksts:</w:t>
      </w:r>
      <w:r>
        <w:rPr>
          <w:b/>
          <w:lang w:val="lv-LV"/>
        </w:rPr>
        <w:t xml:space="preserve"> </w:t>
      </w:r>
      <w:r>
        <w:rPr>
          <w:lang w:val="lv-LV"/>
        </w:rPr>
        <w:t xml:space="preserve">apjoms – no 5500 līdz 10 000 rakstzīmēm, fonts – Times New Roman, izmērs – 12 pt, starprindu intervāls – 1, izlīdzinājums, tabulas un attēli ir jānumurē. Tabulu un attēlu nosaukumu noformēšana: Times New Roman, 12 pt. Attēlu numerāciju un nosaukumu </w:t>
      </w:r>
      <w:r w:rsidR="00DF5A41">
        <w:rPr>
          <w:lang w:val="lv-LV"/>
        </w:rPr>
        <w:t xml:space="preserve">jāizvieto </w:t>
      </w:r>
      <w:r>
        <w:rPr>
          <w:lang w:val="lv-LV"/>
        </w:rPr>
        <w:t>zem attēla centrā, bet tabulas – virs tabulas, centrā. Atsauces uz literatūru tekstā jāraksta kvadrātiekavās, piemēram, [1, 10].</w:t>
      </w:r>
    </w:p>
    <w:p w14:paraId="1A9AD999" w14:textId="77777777" w:rsidR="00D14F7C" w:rsidRDefault="00D14F7C" w:rsidP="00D14F7C">
      <w:pPr>
        <w:spacing w:line="276" w:lineRule="auto"/>
        <w:jc w:val="both"/>
        <w:rPr>
          <w:b/>
          <w:lang w:val="lv-LV"/>
        </w:rPr>
      </w:pPr>
      <w:r>
        <w:rPr>
          <w:b/>
          <w:lang w:val="lv-LV"/>
        </w:rPr>
        <w:t xml:space="preserve">7) </w:t>
      </w:r>
      <w:r>
        <w:rPr>
          <w:b/>
          <w:color w:val="7030A0"/>
          <w:lang w:val="lv-LV"/>
        </w:rPr>
        <w:t>Publikācijas struktūra</w:t>
      </w:r>
      <w:r>
        <w:rPr>
          <w:b/>
          <w:lang w:val="lv-LV"/>
        </w:rPr>
        <w:t>:</w:t>
      </w:r>
    </w:p>
    <w:p w14:paraId="419A7D53" w14:textId="77777777" w:rsidR="00D14F7C" w:rsidRDefault="00D14F7C" w:rsidP="00D14F7C">
      <w:pPr>
        <w:numPr>
          <w:ilvl w:val="0"/>
          <w:numId w:val="3"/>
        </w:numPr>
        <w:spacing w:after="0" w:line="276" w:lineRule="auto"/>
        <w:jc w:val="both"/>
        <w:rPr>
          <w:b/>
          <w:color w:val="7030A0"/>
          <w:lang w:val="lv-LV"/>
        </w:rPr>
      </w:pPr>
      <w:r>
        <w:rPr>
          <w:b/>
          <w:color w:val="7030A0"/>
          <w:lang w:val="lv-LV"/>
        </w:rPr>
        <w:t>Ievads (Introduction) (īsi formulēta pētījuma problēma, pētījuma aktualitāte, mērķis, izmantojamās pētījuma metodes);</w:t>
      </w:r>
    </w:p>
    <w:p w14:paraId="5EC6C293" w14:textId="344EC4EF" w:rsidR="00D14F7C" w:rsidRDefault="007A354E" w:rsidP="00D14F7C">
      <w:pPr>
        <w:numPr>
          <w:ilvl w:val="0"/>
          <w:numId w:val="3"/>
        </w:numPr>
        <w:spacing w:after="0" w:line="276" w:lineRule="auto"/>
        <w:jc w:val="both"/>
        <w:rPr>
          <w:b/>
          <w:color w:val="7030A0"/>
          <w:lang w:val="lv-LV"/>
        </w:rPr>
      </w:pPr>
      <w:r>
        <w:rPr>
          <w:b/>
          <w:color w:val="7030A0"/>
          <w:lang w:val="lv-LV"/>
        </w:rPr>
        <w:t>Svarīgākās atziņas teorijā un praksē</w:t>
      </w:r>
      <w:r w:rsidR="00D14F7C">
        <w:rPr>
          <w:b/>
          <w:color w:val="7030A0"/>
          <w:lang w:val="lv-LV"/>
        </w:rPr>
        <w:t xml:space="preserve"> (Basic theoretical and practical provision);</w:t>
      </w:r>
    </w:p>
    <w:p w14:paraId="0A23710D" w14:textId="253AE3DE" w:rsidR="00D14F7C" w:rsidRDefault="007A354E" w:rsidP="00D14F7C">
      <w:pPr>
        <w:numPr>
          <w:ilvl w:val="0"/>
          <w:numId w:val="3"/>
        </w:numPr>
        <w:spacing w:after="0" w:line="276" w:lineRule="auto"/>
        <w:jc w:val="both"/>
        <w:rPr>
          <w:b/>
          <w:color w:val="7030A0"/>
          <w:lang w:val="lv-LV"/>
        </w:rPr>
      </w:pPr>
      <w:r>
        <w:rPr>
          <w:b/>
          <w:color w:val="7030A0"/>
          <w:lang w:val="lv-LV"/>
        </w:rPr>
        <w:t>P</w:t>
      </w:r>
      <w:r w:rsidR="00D14F7C">
        <w:rPr>
          <w:b/>
          <w:color w:val="7030A0"/>
          <w:lang w:val="lv-LV"/>
        </w:rPr>
        <w:t>ētījuma rezultāti, novērtējums (Research findings or data, evaluation of research results);</w:t>
      </w:r>
    </w:p>
    <w:p w14:paraId="0CB4A591" w14:textId="647B35D7" w:rsidR="00D14F7C" w:rsidRDefault="007A354E" w:rsidP="00D14F7C">
      <w:pPr>
        <w:numPr>
          <w:ilvl w:val="0"/>
          <w:numId w:val="3"/>
        </w:numPr>
        <w:spacing w:after="0" w:line="276" w:lineRule="auto"/>
        <w:jc w:val="both"/>
        <w:rPr>
          <w:b/>
          <w:color w:val="7030A0"/>
          <w:lang w:val="lv-LV"/>
        </w:rPr>
      </w:pPr>
      <w:r>
        <w:rPr>
          <w:b/>
          <w:color w:val="7030A0"/>
          <w:lang w:val="lv-LV"/>
        </w:rPr>
        <w:t>S</w:t>
      </w:r>
      <w:r w:rsidR="00D14F7C">
        <w:rPr>
          <w:b/>
          <w:color w:val="7030A0"/>
          <w:lang w:val="lv-LV"/>
        </w:rPr>
        <w:t>ecinājumi, priekšlikumi (Conclusions).</w:t>
      </w:r>
    </w:p>
    <w:p w14:paraId="094054BD" w14:textId="3108742F" w:rsidR="00D14F7C" w:rsidRDefault="00D14F7C" w:rsidP="00D14F7C">
      <w:pPr>
        <w:spacing w:line="276" w:lineRule="auto"/>
        <w:jc w:val="both"/>
        <w:rPr>
          <w:lang w:val="lv-LV"/>
        </w:rPr>
      </w:pPr>
      <w:r>
        <w:rPr>
          <w:b/>
          <w:lang w:val="lv-LV"/>
        </w:rPr>
        <w:t xml:space="preserve">8) </w:t>
      </w:r>
      <w:r w:rsidR="00523943">
        <w:rPr>
          <w:b/>
          <w:color w:val="7030A0"/>
          <w:lang w:val="lv-LV"/>
        </w:rPr>
        <w:t>I</w:t>
      </w:r>
      <w:r>
        <w:rPr>
          <w:b/>
          <w:color w:val="7030A0"/>
          <w:lang w:val="lv-LV"/>
        </w:rPr>
        <w:t>zmantotās literatūras un citu avotu saraksts (References).</w:t>
      </w:r>
      <w:r>
        <w:rPr>
          <w:b/>
          <w:lang w:val="lv-LV"/>
        </w:rPr>
        <w:t xml:space="preserve"> </w:t>
      </w:r>
      <w:r>
        <w:rPr>
          <w:lang w:val="lv-LV"/>
        </w:rPr>
        <w:t>Nosaukums – “Izmantotās literatūras un citu avotu saraksts” (Times New Roman Bold, 10 pt, centrā), literatūras saraksts jānumurē (Times New Roman, 10 pt). Normatīvos aktus norāda atbilstoši juridiskajai hierarhijai. Literatūras saraksts tiek iedalīts valodās, bet tam ir kopīga numerācija, sākumā ir literatūra ar latīņu burtiem, pēc tam kirilicā.</w:t>
      </w:r>
    </w:p>
    <w:p w14:paraId="599577BA" w14:textId="23F652E8" w:rsidR="003368D2" w:rsidRPr="003368D2" w:rsidRDefault="003368D2" w:rsidP="003368D2">
      <w:pPr>
        <w:spacing w:line="276" w:lineRule="auto"/>
        <w:jc w:val="both"/>
        <w:rPr>
          <w:lang w:val="lv-LV"/>
        </w:rPr>
      </w:pPr>
      <w:r w:rsidRPr="000D1E39">
        <w:rPr>
          <w:b/>
          <w:noProof/>
          <w:lang w:val="lv-LV" w:eastAsia="lv-LV"/>
        </w:rPr>
        <mc:AlternateContent>
          <mc:Choice Requires="wps">
            <w:drawing>
              <wp:anchor distT="0" distB="0" distL="114300" distR="114300" simplePos="0" relativeHeight="251680768" behindDoc="0" locked="0" layoutInCell="1" allowOverlap="1" wp14:anchorId="22130F9C" wp14:editId="443DA84E">
                <wp:simplePos x="0" y="0"/>
                <wp:positionH relativeFrom="column">
                  <wp:posOffset>-60000</wp:posOffset>
                </wp:positionH>
                <wp:positionV relativeFrom="paragraph">
                  <wp:posOffset>239011</wp:posOffset>
                </wp:positionV>
                <wp:extent cx="6429375" cy="424180"/>
                <wp:effectExtent l="0" t="0" r="2857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24180"/>
                        </a:xfrm>
                        <a:prstGeom prst="rect">
                          <a:avLst/>
                        </a:prstGeom>
                        <a:noFill/>
                        <a:ln w="9525">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EC24E" id="Rectangle 3" o:spid="_x0000_s1026" style="position:absolute;margin-left:-4.7pt;margin-top:18.8pt;width:506.25pt;height:3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" filled="f" strokecolor="#c00000"/>
            </w:pict>
          </mc:Fallback>
        </mc:AlternateContent>
      </w:r>
      <w:r w:rsidRPr="000D1E39">
        <w:rPr>
          <w:b/>
          <w:lang w:val="lv-LV"/>
        </w:rPr>
        <w:t>R</w:t>
      </w:r>
      <w:r w:rsidR="000D1E39" w:rsidRPr="000D1E39">
        <w:rPr>
          <w:b/>
          <w:lang w:val="lv-LV"/>
        </w:rPr>
        <w:t>aksta daļu nosaukumi</w:t>
      </w:r>
      <w:r w:rsidR="000D1E39" w:rsidRPr="000D1E39">
        <w:rPr>
          <w:lang w:val="lv-LV"/>
        </w:rPr>
        <w:t xml:space="preserve"> jāraksta angļu un raksta valodā. </w:t>
      </w:r>
    </w:p>
    <w:p w14:paraId="200AE781" w14:textId="77777777" w:rsidR="003368D2" w:rsidRPr="00ED6945" w:rsidRDefault="003368D2" w:rsidP="003368D2">
      <w:pPr>
        <w:spacing w:line="276" w:lineRule="auto"/>
        <w:jc w:val="both"/>
        <w:rPr>
          <w:b/>
          <w:color w:val="C00000"/>
          <w:lang w:val="lv-LV"/>
        </w:rPr>
      </w:pPr>
      <w:r>
        <w:rPr>
          <w:b/>
          <w:color w:val="C00000"/>
          <w:lang w:val="lv-LV"/>
        </w:rPr>
        <w:t xml:space="preserve">   Raksti, kas nav noformēti atbilstoši prasībām, netiks publicēti.</w:t>
      </w:r>
    </w:p>
    <w:p w14:paraId="745163C3" w14:textId="45C65B69" w:rsidR="00816933" w:rsidRDefault="00816933">
      <w:pPr>
        <w:rPr>
          <w:rFonts w:ascii="Times New Roman" w:eastAsia="Calibri" w:hAnsi="Times New Roman" w:cs="Times New Roman"/>
          <w:b/>
          <w:color w:val="FF0000"/>
          <w:sz w:val="24"/>
          <w:szCs w:val="24"/>
          <w:lang w:val="lv-LV"/>
        </w:rPr>
      </w:pPr>
      <w:r>
        <w:rPr>
          <w:rFonts w:ascii="Times New Roman" w:eastAsia="Calibri" w:hAnsi="Times New Roman" w:cs="Times New Roman"/>
          <w:b/>
          <w:color w:val="FF0000"/>
          <w:sz w:val="24"/>
          <w:szCs w:val="24"/>
          <w:lang w:val="lv-LV"/>
        </w:rPr>
        <w:br w:type="page"/>
      </w:r>
    </w:p>
    <w:p w14:paraId="2711E380" w14:textId="71094531" w:rsidR="00961866" w:rsidRDefault="000648C1" w:rsidP="00961866">
      <w:pPr>
        <w:spacing w:after="0" w:line="240" w:lineRule="auto"/>
        <w:ind w:firstLine="720"/>
        <w:jc w:val="right"/>
        <w:rPr>
          <w:rFonts w:ascii="Times New Roman" w:eastAsia="Calibri" w:hAnsi="Times New Roman" w:cs="Times New Roman"/>
          <w:b/>
          <w:color w:val="FF0000"/>
          <w:sz w:val="24"/>
          <w:szCs w:val="24"/>
          <w:lang w:val="lv-LV"/>
        </w:rPr>
      </w:pPr>
      <w:r>
        <w:rPr>
          <w:rFonts w:ascii="Times New Roman" w:eastAsia="Calibri" w:hAnsi="Times New Roman" w:cs="Times New Roman"/>
          <w:b/>
          <w:color w:val="FF0000"/>
          <w:sz w:val="24"/>
          <w:szCs w:val="24"/>
          <w:lang w:val="lv-LV"/>
        </w:rPr>
        <w:lastRenderedPageBreak/>
        <w:t xml:space="preserve">RAKSTA </w:t>
      </w:r>
      <w:r w:rsidR="00424B7A">
        <w:rPr>
          <w:rFonts w:ascii="Times New Roman" w:eastAsia="Calibri" w:hAnsi="Times New Roman" w:cs="Times New Roman"/>
          <w:b/>
          <w:color w:val="FF0000"/>
          <w:sz w:val="24"/>
          <w:szCs w:val="24"/>
          <w:lang w:val="lv-LV"/>
        </w:rPr>
        <w:t>PIEMĒRS</w:t>
      </w:r>
    </w:p>
    <w:p w14:paraId="215416CF" w14:textId="77777777" w:rsidR="00816933" w:rsidRPr="006F6A20" w:rsidRDefault="00816933" w:rsidP="00961866">
      <w:pPr>
        <w:spacing w:after="0" w:line="240" w:lineRule="auto"/>
        <w:ind w:firstLine="720"/>
        <w:jc w:val="right"/>
        <w:rPr>
          <w:rFonts w:ascii="Times New Roman" w:eastAsia="Calibri" w:hAnsi="Times New Roman" w:cs="Times New Roman"/>
          <w:b/>
          <w:color w:val="FF0000"/>
          <w:sz w:val="24"/>
          <w:szCs w:val="24"/>
          <w:lang w:val="lv-LV"/>
        </w:rPr>
      </w:pPr>
    </w:p>
    <w:p w14:paraId="59FBC0F9" w14:textId="77777777" w:rsidR="00961866" w:rsidRPr="00961866" w:rsidRDefault="00961866" w:rsidP="00961866">
      <w:pPr>
        <w:spacing w:after="0" w:line="240" w:lineRule="auto"/>
        <w:ind w:firstLine="284"/>
        <w:jc w:val="center"/>
        <w:rPr>
          <w:rFonts w:ascii="Times New Roman" w:eastAsia="Calibri" w:hAnsi="Times New Roman" w:cs="Times New Roman"/>
          <w:b/>
          <w:sz w:val="28"/>
          <w:szCs w:val="28"/>
          <w:lang w:val="lv-LV" w:eastAsia="lv-LV"/>
        </w:rPr>
      </w:pPr>
      <w:r w:rsidRPr="00961866">
        <w:rPr>
          <w:rFonts w:ascii="Times New Roman" w:eastAsia="Calibri" w:hAnsi="Times New Roman" w:cs="Times New Roman"/>
          <w:b/>
          <w:sz w:val="28"/>
          <w:szCs w:val="28"/>
          <w:lang w:val="lv-LV" w:eastAsia="lv-LV"/>
        </w:rPr>
        <w:t xml:space="preserve">Efektivitātes novērtēšanas aktualitāte publiskajā sektorā </w:t>
      </w:r>
    </w:p>
    <w:p w14:paraId="2A26EB32" w14:textId="77777777" w:rsidR="00961866" w:rsidRPr="00961866" w:rsidRDefault="00961866" w:rsidP="00961866">
      <w:pPr>
        <w:spacing w:after="0" w:line="240" w:lineRule="auto"/>
        <w:ind w:firstLine="284"/>
        <w:jc w:val="center"/>
        <w:rPr>
          <w:rFonts w:ascii="Times New Roman" w:eastAsia="Calibri" w:hAnsi="Times New Roman" w:cs="Times New Roman"/>
          <w:b/>
          <w:sz w:val="28"/>
          <w:szCs w:val="28"/>
          <w:lang w:val="lv-LV" w:eastAsia="lv-LV"/>
        </w:rPr>
      </w:pPr>
    </w:p>
    <w:p w14:paraId="3219B5BB" w14:textId="54BC629A" w:rsidR="00961866" w:rsidRPr="00961866" w:rsidRDefault="00424B7A" w:rsidP="00961866">
      <w:pPr>
        <w:spacing w:after="0" w:line="240" w:lineRule="auto"/>
        <w:ind w:firstLine="284"/>
        <w:jc w:val="right"/>
        <w:rPr>
          <w:rFonts w:ascii="Times New Roman" w:eastAsia="Calibri" w:hAnsi="Times New Roman" w:cs="Times New Roman"/>
          <w:b/>
          <w:sz w:val="24"/>
          <w:szCs w:val="24"/>
          <w:lang w:val="lv-LV" w:eastAsia="lv-LV"/>
        </w:rPr>
      </w:pPr>
      <w:r>
        <w:rPr>
          <w:rFonts w:ascii="Times New Roman" w:eastAsia="Calibri" w:hAnsi="Times New Roman" w:cs="Times New Roman"/>
          <w:b/>
          <w:sz w:val="24"/>
          <w:szCs w:val="24"/>
          <w:lang w:val="lv-LV" w:eastAsia="lv-LV"/>
        </w:rPr>
        <w:t>Vārds</w:t>
      </w:r>
      <w:r w:rsidR="00961866" w:rsidRPr="00961866">
        <w:rPr>
          <w:rFonts w:ascii="Times New Roman" w:eastAsia="Calibri" w:hAnsi="Times New Roman" w:cs="Times New Roman"/>
          <w:b/>
          <w:sz w:val="24"/>
          <w:szCs w:val="24"/>
          <w:lang w:val="lv-LV" w:eastAsia="lv-LV"/>
        </w:rPr>
        <w:t xml:space="preserve">, </w:t>
      </w:r>
      <w:r>
        <w:rPr>
          <w:rFonts w:ascii="Times New Roman" w:eastAsia="Calibri" w:hAnsi="Times New Roman" w:cs="Times New Roman"/>
          <w:b/>
          <w:sz w:val="24"/>
          <w:szCs w:val="24"/>
          <w:lang w:val="lv-LV" w:eastAsia="lv-LV"/>
        </w:rPr>
        <w:t>Uzvārds</w:t>
      </w:r>
    </w:p>
    <w:p w14:paraId="1F5D953C" w14:textId="043F2F49" w:rsidR="00961866" w:rsidRPr="00961866" w:rsidRDefault="00424B7A" w:rsidP="00961866">
      <w:pPr>
        <w:spacing w:after="0" w:line="240" w:lineRule="auto"/>
        <w:ind w:firstLine="284"/>
        <w:jc w:val="right"/>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eastAsia="lv-LV"/>
        </w:rPr>
        <w:t>Valsts</w:t>
      </w:r>
    </w:p>
    <w:p w14:paraId="6432F184" w14:textId="3FAF5CB1" w:rsidR="00961866" w:rsidRPr="00961866" w:rsidRDefault="008E32F0" w:rsidP="00961866">
      <w:pPr>
        <w:spacing w:after="0" w:line="240" w:lineRule="auto"/>
        <w:ind w:firstLine="284"/>
        <w:jc w:val="right"/>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eastAsia="lv-LV"/>
        </w:rPr>
        <w:t>Universitāte</w:t>
      </w:r>
    </w:p>
    <w:p w14:paraId="1168432D" w14:textId="15E55B46" w:rsidR="00961866" w:rsidRPr="00961866" w:rsidRDefault="00961866" w:rsidP="00961866">
      <w:pPr>
        <w:spacing w:after="0" w:line="240" w:lineRule="auto"/>
        <w:ind w:firstLine="284"/>
        <w:jc w:val="right"/>
        <w:rPr>
          <w:rFonts w:ascii="Times New Roman" w:eastAsia="Calibri" w:hAnsi="Times New Roman" w:cs="Times New Roman"/>
          <w:sz w:val="24"/>
          <w:szCs w:val="24"/>
          <w:lang w:val="lv-LV" w:eastAsia="lv-LV"/>
        </w:rPr>
      </w:pPr>
      <w:r w:rsidRPr="00961866">
        <w:rPr>
          <w:rFonts w:ascii="Times New Roman" w:eastAsia="Calibri" w:hAnsi="Times New Roman" w:cs="Times New Roman"/>
          <w:sz w:val="24"/>
          <w:szCs w:val="24"/>
          <w:lang w:val="lv-LV" w:eastAsia="lv-LV"/>
        </w:rPr>
        <w:t>Stud</w:t>
      </w:r>
      <w:r w:rsidR="00424B7A">
        <w:rPr>
          <w:rFonts w:ascii="Times New Roman" w:eastAsia="Calibri" w:hAnsi="Times New Roman" w:cs="Times New Roman"/>
          <w:sz w:val="24"/>
          <w:szCs w:val="24"/>
          <w:lang w:val="lv-LV" w:eastAsia="lv-LV"/>
        </w:rPr>
        <w:t>iju programma</w:t>
      </w:r>
    </w:p>
    <w:p w14:paraId="67E5D03D" w14:textId="4D9DBD5A" w:rsidR="00961866" w:rsidRPr="00961866" w:rsidRDefault="00424B7A" w:rsidP="00961866">
      <w:pPr>
        <w:spacing w:after="0" w:line="240" w:lineRule="auto"/>
        <w:ind w:firstLine="284"/>
        <w:jc w:val="right"/>
        <w:rPr>
          <w:rFonts w:ascii="Times New Roman" w:eastAsia="Calibri" w:hAnsi="Times New Roman" w:cs="Times New Roman"/>
          <w:sz w:val="24"/>
          <w:szCs w:val="24"/>
          <w:lang w:val="lv-LV" w:eastAsia="lv-LV"/>
        </w:rPr>
      </w:pPr>
      <w:r w:rsidRPr="00424B7A">
        <w:rPr>
          <w:rFonts w:ascii="Times New Roman" w:eastAsia="Calibri" w:hAnsi="Times New Roman" w:cs="Times New Roman"/>
          <w:sz w:val="24"/>
          <w:szCs w:val="24"/>
          <w:lang w:val="lv-LV" w:eastAsia="lv-LV"/>
        </w:rPr>
        <w:t>e-pasts</w:t>
      </w:r>
    </w:p>
    <w:p w14:paraId="7672AB85" w14:textId="64226208" w:rsidR="00961866" w:rsidRPr="00961866" w:rsidRDefault="000D1E39" w:rsidP="00961866">
      <w:pPr>
        <w:spacing w:after="0" w:line="240" w:lineRule="auto"/>
        <w:ind w:firstLine="284"/>
        <w:jc w:val="right"/>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eastAsia="lv-LV"/>
        </w:rPr>
        <w:t>Zinātniskais</w:t>
      </w:r>
      <w:r w:rsidR="00961866" w:rsidRPr="00961866">
        <w:rPr>
          <w:rFonts w:ascii="Times New Roman" w:eastAsia="Calibri" w:hAnsi="Times New Roman" w:cs="Times New Roman"/>
          <w:sz w:val="24"/>
          <w:szCs w:val="24"/>
          <w:lang w:val="lv-LV" w:eastAsia="lv-LV"/>
        </w:rPr>
        <w:t xml:space="preserve"> </w:t>
      </w:r>
      <w:r>
        <w:rPr>
          <w:rFonts w:ascii="Times New Roman" w:eastAsia="Calibri" w:hAnsi="Times New Roman" w:cs="Times New Roman"/>
          <w:sz w:val="24"/>
          <w:szCs w:val="24"/>
          <w:lang w:val="lv-LV" w:eastAsia="lv-LV"/>
        </w:rPr>
        <w:t>vadītājs</w:t>
      </w:r>
      <w:r w:rsidR="00961866" w:rsidRPr="00961866">
        <w:rPr>
          <w:rFonts w:ascii="Times New Roman" w:eastAsia="Calibri" w:hAnsi="Times New Roman" w:cs="Times New Roman"/>
          <w:sz w:val="24"/>
          <w:szCs w:val="24"/>
          <w:lang w:val="lv-LV" w:eastAsia="lv-LV"/>
        </w:rPr>
        <w:t>:</w:t>
      </w:r>
    </w:p>
    <w:p w14:paraId="282AF4B8" w14:textId="32B05856" w:rsidR="00961866" w:rsidRPr="00537E1E" w:rsidRDefault="000D1E39" w:rsidP="00961866">
      <w:pPr>
        <w:spacing w:after="200" w:line="240" w:lineRule="auto"/>
        <w:ind w:firstLine="284"/>
        <w:jc w:val="right"/>
        <w:rPr>
          <w:rFonts w:ascii="Times New Roman" w:eastAsia="Calibri" w:hAnsi="Times New Roman" w:cs="Times New Roman"/>
          <w:sz w:val="18"/>
          <w:szCs w:val="18"/>
          <w:lang w:val="lv-LV" w:eastAsia="lv-LV"/>
        </w:rPr>
      </w:pPr>
      <w:r w:rsidRPr="00537E1E">
        <w:rPr>
          <w:rFonts w:ascii="Times New Roman" w:eastAsia="Calibri" w:hAnsi="Times New Roman" w:cs="Times New Roman"/>
          <w:sz w:val="24"/>
          <w:szCs w:val="24"/>
          <w:lang w:val="lv-LV" w:eastAsia="lv-LV"/>
        </w:rPr>
        <w:t>zinātniskais</w:t>
      </w:r>
      <w:r w:rsidR="00961866" w:rsidRPr="00537E1E">
        <w:rPr>
          <w:rFonts w:ascii="Times New Roman" w:eastAsia="Calibri" w:hAnsi="Times New Roman" w:cs="Times New Roman"/>
          <w:sz w:val="24"/>
          <w:szCs w:val="24"/>
          <w:lang w:val="lv-LV" w:eastAsia="lv-LV"/>
        </w:rPr>
        <w:t xml:space="preserve"> </w:t>
      </w:r>
      <w:r w:rsidRPr="00537E1E">
        <w:rPr>
          <w:rFonts w:ascii="Times New Roman" w:eastAsia="Calibri" w:hAnsi="Times New Roman" w:cs="Times New Roman"/>
          <w:sz w:val="24"/>
          <w:szCs w:val="24"/>
          <w:lang w:val="lv-LV" w:eastAsia="lv-LV"/>
        </w:rPr>
        <w:t>grāds</w:t>
      </w:r>
      <w:r w:rsidR="00961866" w:rsidRPr="00537E1E">
        <w:rPr>
          <w:rFonts w:ascii="Times New Roman" w:eastAsia="Calibri" w:hAnsi="Times New Roman" w:cs="Times New Roman"/>
          <w:sz w:val="24"/>
          <w:szCs w:val="24"/>
          <w:lang w:val="lv-LV" w:eastAsia="lv-LV"/>
        </w:rPr>
        <w:t xml:space="preserve">, </w:t>
      </w:r>
      <w:r w:rsidRPr="00537E1E">
        <w:rPr>
          <w:rFonts w:ascii="Times New Roman" w:eastAsia="Calibri" w:hAnsi="Times New Roman" w:cs="Times New Roman"/>
          <w:sz w:val="24"/>
          <w:szCs w:val="24"/>
          <w:lang w:val="lv-LV" w:eastAsia="lv-LV"/>
        </w:rPr>
        <w:t>vārds</w:t>
      </w:r>
      <w:r w:rsidR="00961866" w:rsidRPr="00537E1E">
        <w:rPr>
          <w:rFonts w:ascii="Times New Roman" w:eastAsia="Calibri" w:hAnsi="Times New Roman" w:cs="Times New Roman"/>
          <w:sz w:val="24"/>
          <w:szCs w:val="24"/>
          <w:lang w:val="lv-LV" w:eastAsia="lv-LV"/>
        </w:rPr>
        <w:t xml:space="preserve"> </w:t>
      </w:r>
      <w:r w:rsidRPr="00537E1E">
        <w:rPr>
          <w:rFonts w:ascii="Times New Roman" w:eastAsia="Calibri" w:hAnsi="Times New Roman" w:cs="Times New Roman"/>
          <w:sz w:val="24"/>
          <w:szCs w:val="24"/>
          <w:lang w:val="lv-LV" w:eastAsia="lv-LV"/>
        </w:rPr>
        <w:t>un</w:t>
      </w:r>
      <w:r w:rsidR="00961866" w:rsidRPr="00537E1E">
        <w:rPr>
          <w:rFonts w:ascii="Times New Roman" w:eastAsia="Calibri" w:hAnsi="Times New Roman" w:cs="Times New Roman"/>
          <w:sz w:val="24"/>
          <w:szCs w:val="24"/>
          <w:lang w:val="lv-LV" w:eastAsia="lv-LV"/>
        </w:rPr>
        <w:t xml:space="preserve"> </w:t>
      </w:r>
      <w:r w:rsidRPr="00537E1E">
        <w:rPr>
          <w:rFonts w:ascii="Times New Roman" w:eastAsia="Calibri" w:hAnsi="Times New Roman" w:cs="Times New Roman"/>
          <w:sz w:val="24"/>
          <w:szCs w:val="24"/>
          <w:lang w:val="lv-LV" w:eastAsia="lv-LV"/>
        </w:rPr>
        <w:t>uzvārds</w:t>
      </w:r>
      <w:r w:rsidR="00961866" w:rsidRPr="00537E1E">
        <w:rPr>
          <w:rFonts w:ascii="Times New Roman" w:eastAsia="Calibri" w:hAnsi="Times New Roman" w:cs="Times New Roman"/>
          <w:sz w:val="24"/>
          <w:szCs w:val="24"/>
          <w:lang w:val="lv-LV" w:eastAsia="lv-LV"/>
        </w:rPr>
        <w:br/>
      </w:r>
    </w:p>
    <w:p w14:paraId="12FB03CC" w14:textId="77777777" w:rsidR="00961866" w:rsidRPr="00961866" w:rsidRDefault="00961866" w:rsidP="00961866">
      <w:pPr>
        <w:spacing w:after="200" w:line="240" w:lineRule="auto"/>
        <w:ind w:firstLine="284"/>
        <w:jc w:val="center"/>
        <w:rPr>
          <w:rFonts w:ascii="Times New Roman" w:eastAsia="Calibri" w:hAnsi="Times New Roman" w:cs="Times New Roman"/>
          <w:b/>
          <w:sz w:val="20"/>
          <w:szCs w:val="20"/>
          <w:lang w:val="lv-LV" w:eastAsia="lv-LV"/>
        </w:rPr>
      </w:pPr>
      <w:r w:rsidRPr="00961866">
        <w:rPr>
          <w:rFonts w:ascii="Times New Roman" w:eastAsia="Calibri" w:hAnsi="Times New Roman" w:cs="Times New Roman"/>
          <w:b/>
          <w:sz w:val="20"/>
          <w:szCs w:val="20"/>
          <w:lang w:val="lv-LV" w:eastAsia="lv-LV"/>
        </w:rPr>
        <w:t>ANOTĀCIJA</w:t>
      </w:r>
    </w:p>
    <w:p w14:paraId="42CD717E" w14:textId="77777777" w:rsidR="00961866" w:rsidRPr="00961866" w:rsidRDefault="00961866" w:rsidP="00961866">
      <w:pPr>
        <w:spacing w:after="200" w:line="240" w:lineRule="auto"/>
        <w:ind w:firstLine="284"/>
        <w:jc w:val="both"/>
        <w:rPr>
          <w:rFonts w:ascii="Times New Roman" w:eastAsia="Calibri" w:hAnsi="Times New Roman" w:cs="Times New Roman"/>
          <w:sz w:val="20"/>
          <w:szCs w:val="20"/>
          <w:lang w:val="lv-LV" w:eastAsia="lv-LV"/>
        </w:rPr>
      </w:pPr>
      <w:r w:rsidRPr="00961866">
        <w:rPr>
          <w:rFonts w:ascii="Times New Roman" w:eastAsia="Calibri" w:hAnsi="Times New Roman" w:cs="Times New Roman"/>
          <w:sz w:val="20"/>
          <w:szCs w:val="20"/>
          <w:lang w:val="lv-LV" w:eastAsia="lv-LV"/>
        </w:rPr>
        <w:t xml:space="preserve">Šī darba ietvaros autors norāda uz efektivitātes novērtēšanas nepieciešamību publiskajā sektorā pamatojoties uz politikas plānošanas dokumentu izvirzītajiem mērķiem un piedāvā DEA ekonometrisko metodi, kā pētniecības instrumentu efektivitātes novērtēšanai sociālās aprūpes jomā saistībā ar populācijas novecošanos. Darbā tiek veikta ārvalstu un pašmāju literatūras analīze, kā arī tiek akcentēts līdzīgu pētījumu trūkums Latvijas labklājības nozarē un šādu pētījumu izstrādes sociālais un ekonomiskais ieguvums. </w:t>
      </w:r>
    </w:p>
    <w:p w14:paraId="5E87B415" w14:textId="74D36195" w:rsidR="00961866" w:rsidRPr="00961866" w:rsidRDefault="00961866" w:rsidP="00961866">
      <w:pPr>
        <w:spacing w:after="200" w:line="240" w:lineRule="auto"/>
        <w:ind w:firstLine="284"/>
        <w:jc w:val="both"/>
        <w:rPr>
          <w:rFonts w:ascii="Times New Roman" w:eastAsia="Calibri" w:hAnsi="Times New Roman" w:cs="Times New Roman"/>
          <w:sz w:val="20"/>
          <w:szCs w:val="20"/>
          <w:lang w:val="lv-LV" w:eastAsia="lv-LV"/>
        </w:rPr>
      </w:pPr>
      <w:r w:rsidRPr="00816933">
        <w:rPr>
          <w:rFonts w:ascii="Times New Roman" w:eastAsia="Calibri" w:hAnsi="Times New Roman" w:cs="Times New Roman"/>
          <w:b/>
          <w:sz w:val="20"/>
          <w:szCs w:val="20"/>
          <w:lang w:val="lv-LV" w:eastAsia="lv-LV"/>
        </w:rPr>
        <w:t>Atslēg</w:t>
      </w:r>
      <w:r w:rsidRPr="00961866">
        <w:rPr>
          <w:rFonts w:ascii="Times New Roman" w:eastAsia="Calibri" w:hAnsi="Times New Roman" w:cs="Times New Roman"/>
          <w:b/>
          <w:sz w:val="20"/>
          <w:szCs w:val="20"/>
          <w:lang w:val="lv-LV" w:eastAsia="lv-LV"/>
        </w:rPr>
        <w:t>vārdi:</w:t>
      </w:r>
      <w:r w:rsidRPr="00961866">
        <w:rPr>
          <w:rFonts w:ascii="Times New Roman" w:eastAsia="Calibri" w:hAnsi="Times New Roman" w:cs="Times New Roman"/>
          <w:sz w:val="20"/>
          <w:szCs w:val="20"/>
          <w:lang w:val="lv-LV" w:eastAsia="lv-LV"/>
        </w:rPr>
        <w:t xml:space="preserve"> efektivitāte, DEA, demogrāfija</w:t>
      </w:r>
    </w:p>
    <w:p w14:paraId="17146425" w14:textId="77777777" w:rsidR="00961866" w:rsidRPr="00961866" w:rsidRDefault="00961866" w:rsidP="00961866">
      <w:pPr>
        <w:spacing w:after="200" w:line="240" w:lineRule="auto"/>
        <w:ind w:firstLine="284"/>
        <w:jc w:val="center"/>
        <w:rPr>
          <w:rFonts w:ascii="Times New Roman" w:eastAsia="Calibri" w:hAnsi="Times New Roman" w:cs="Times New Roman"/>
          <w:b/>
          <w:iCs/>
          <w:sz w:val="20"/>
          <w:szCs w:val="20"/>
          <w:lang w:val="lv-LV" w:eastAsia="lv-LV"/>
        </w:rPr>
      </w:pPr>
      <w:r w:rsidRPr="00961866">
        <w:rPr>
          <w:rFonts w:ascii="Times New Roman" w:eastAsia="Calibri" w:hAnsi="Times New Roman" w:cs="Times New Roman"/>
          <w:b/>
          <w:iCs/>
          <w:sz w:val="20"/>
          <w:szCs w:val="20"/>
          <w:lang w:val="lv-LV" w:eastAsia="lv-LV"/>
        </w:rPr>
        <w:t>ABSTRACT</w:t>
      </w:r>
    </w:p>
    <w:p w14:paraId="6C539945" w14:textId="77777777" w:rsidR="00961866" w:rsidRPr="00816933" w:rsidRDefault="00961866" w:rsidP="00961866">
      <w:pPr>
        <w:spacing w:after="200" w:line="240" w:lineRule="auto"/>
        <w:ind w:firstLine="284"/>
        <w:jc w:val="both"/>
        <w:rPr>
          <w:rFonts w:ascii="Times New Roman" w:eastAsia="Calibri" w:hAnsi="Times New Roman" w:cs="Times New Roman"/>
          <w:sz w:val="20"/>
          <w:szCs w:val="20"/>
          <w:lang w:val="lv-LV"/>
        </w:rPr>
      </w:pPr>
      <w:r w:rsidRPr="00961866">
        <w:rPr>
          <w:rFonts w:ascii="Times New Roman" w:eastAsia="Calibri" w:hAnsi="Times New Roman" w:cs="Times New Roman"/>
          <w:sz w:val="20"/>
          <w:szCs w:val="20"/>
          <w:shd w:val="clear" w:color="auto" w:fill="FFFFFF"/>
          <w:lang w:val="lv-LV" w:eastAsia="lv-LV"/>
        </w:rPr>
        <w:t>In the framework of this work author points out the need for efficiency assessment in the public sector on the basis of the objectives set out in the policy planning documents and offers the DEA econometric method for assessing the effectiveness of research tools in social care field for aging population. The paper analyzes foreign and domestic literature and emphasizes absence of similar researches in the welfare sector of Latvia and the social and economic benefits of developing such research.</w:t>
      </w:r>
      <w:r w:rsidRPr="00961866">
        <w:rPr>
          <w:rFonts w:ascii="Times New Roman" w:eastAsia="Calibri" w:hAnsi="Times New Roman" w:cs="Times New Roman"/>
          <w:sz w:val="20"/>
          <w:szCs w:val="20"/>
          <w:lang w:val="lv-LV"/>
        </w:rPr>
        <w:t xml:space="preserve"> </w:t>
      </w:r>
    </w:p>
    <w:p w14:paraId="0452A31B" w14:textId="5E2BEDEA" w:rsidR="00961866" w:rsidRPr="00961866" w:rsidRDefault="00961866" w:rsidP="00961866">
      <w:pPr>
        <w:spacing w:after="200" w:line="240" w:lineRule="auto"/>
        <w:ind w:firstLine="284"/>
        <w:jc w:val="both"/>
        <w:rPr>
          <w:rFonts w:ascii="Times New Roman" w:eastAsia="Calibri" w:hAnsi="Times New Roman" w:cs="Times New Roman"/>
          <w:sz w:val="20"/>
          <w:szCs w:val="20"/>
          <w:shd w:val="clear" w:color="auto" w:fill="FFFFFF"/>
          <w:lang w:val="lv-LV" w:eastAsia="lv-LV"/>
        </w:rPr>
      </w:pPr>
      <w:r w:rsidRPr="00961866">
        <w:rPr>
          <w:rFonts w:ascii="Times New Roman" w:eastAsia="Calibri" w:hAnsi="Times New Roman" w:cs="Times New Roman"/>
          <w:b/>
          <w:sz w:val="20"/>
          <w:szCs w:val="20"/>
          <w:shd w:val="clear" w:color="auto" w:fill="FFFFFF"/>
          <w:lang w:val="lv-LV" w:eastAsia="lv-LV"/>
        </w:rPr>
        <w:t>Keywords:</w:t>
      </w:r>
      <w:r w:rsidRPr="00961866">
        <w:rPr>
          <w:rFonts w:ascii="Times New Roman" w:eastAsia="Calibri" w:hAnsi="Times New Roman" w:cs="Times New Roman"/>
          <w:sz w:val="20"/>
          <w:szCs w:val="20"/>
          <w:shd w:val="clear" w:color="auto" w:fill="FFFFFF"/>
          <w:lang w:val="lv-LV" w:eastAsia="lv-LV"/>
        </w:rPr>
        <w:t xml:space="preserve"> efficiency, DEA, demography</w:t>
      </w:r>
    </w:p>
    <w:p w14:paraId="7147F71B" w14:textId="36733826" w:rsidR="00961866" w:rsidRPr="00961866" w:rsidRDefault="003368D2" w:rsidP="00961866">
      <w:pPr>
        <w:spacing w:after="0" w:line="240" w:lineRule="auto"/>
        <w:ind w:firstLine="284"/>
        <w:jc w:val="center"/>
        <w:rPr>
          <w:rFonts w:ascii="Times New Roman" w:eastAsia="Calibri" w:hAnsi="Times New Roman" w:cs="Times New Roman"/>
          <w:b/>
          <w:sz w:val="24"/>
          <w:szCs w:val="24"/>
          <w:lang w:val="lv-LV" w:eastAsia="lv-LV"/>
        </w:rPr>
      </w:pPr>
      <w:r>
        <w:rPr>
          <w:rFonts w:ascii="Times New Roman" w:eastAsia="Calibri" w:hAnsi="Times New Roman" w:cs="Times New Roman"/>
          <w:b/>
          <w:sz w:val="24"/>
          <w:szCs w:val="24"/>
          <w:lang w:val="lv-LV" w:eastAsia="lv-LV"/>
        </w:rPr>
        <w:t>IEVADS.</w:t>
      </w:r>
      <w:r w:rsidR="00961866" w:rsidRPr="00961866">
        <w:rPr>
          <w:rFonts w:ascii="Times New Roman" w:eastAsia="Calibri" w:hAnsi="Times New Roman" w:cs="Times New Roman"/>
          <w:b/>
          <w:sz w:val="24"/>
          <w:szCs w:val="24"/>
          <w:lang w:val="lv-LV" w:eastAsia="lv-LV"/>
        </w:rPr>
        <w:t xml:space="preserve"> INTRODUCTION</w:t>
      </w:r>
    </w:p>
    <w:p w14:paraId="70DFBEC4" w14:textId="77777777" w:rsidR="00961866" w:rsidRPr="00961866" w:rsidRDefault="00961866" w:rsidP="00961866">
      <w:pPr>
        <w:spacing w:after="0" w:line="240" w:lineRule="auto"/>
        <w:ind w:firstLine="284"/>
        <w:jc w:val="both"/>
        <w:rPr>
          <w:rFonts w:ascii="Times New Roman" w:eastAsia="Calibri" w:hAnsi="Times New Roman" w:cs="Times New Roman"/>
          <w:sz w:val="24"/>
          <w:szCs w:val="24"/>
          <w:lang w:val="lv-LV" w:eastAsia="lv-LV"/>
        </w:rPr>
      </w:pPr>
      <w:r w:rsidRPr="00961866">
        <w:rPr>
          <w:rFonts w:ascii="Times New Roman" w:eastAsia="Calibri" w:hAnsi="Times New Roman" w:cs="Times New Roman"/>
          <w:sz w:val="24"/>
          <w:szCs w:val="24"/>
          <w:lang w:val="lv-LV" w:eastAsia="lv-LV"/>
        </w:rPr>
        <w:t>Kā darba pētāmā problēma ir izvirzīta efektivitātes noteikšana publiskajā sektorā, kura ir aktuāla sakarā ar demogrāfisko situāciju valstī, sabiedrības novecošanos, iedzīvotāju imigrāciju un ierobežotiem valsts budžeta un pašvaldību resursiem ir nepieciešams izvērtēt nozaru finanšu līdzekļu efektīvu izmantošanu publiskajā sektorā. Latvijas Republikas nozaru ministrijās tiek izstrādāti politikas plānošanas dokumenti, kuri orientēti uz ilgtspējīgu attīstību un iedzīvotāju dzīves kvalitātes uzlabošanu [</w:t>
      </w:r>
      <w:r w:rsidRPr="00961866">
        <w:rPr>
          <w:rFonts w:ascii="Times New Roman" w:eastAsia="Calibri" w:hAnsi="Times New Roman" w:cs="Times New Roman"/>
          <w:color w:val="000000"/>
          <w:sz w:val="24"/>
          <w:szCs w:val="24"/>
          <w:lang w:val="lv-LV" w:eastAsia="lv-LV"/>
        </w:rPr>
        <w:t>2]</w:t>
      </w:r>
      <w:r w:rsidRPr="00961866">
        <w:rPr>
          <w:rFonts w:ascii="Times New Roman" w:eastAsia="Calibri" w:hAnsi="Times New Roman" w:cs="Times New Roman"/>
          <w:sz w:val="24"/>
          <w:szCs w:val="24"/>
          <w:lang w:val="lv-LV" w:eastAsia="lv-LV"/>
        </w:rPr>
        <w:t>. Starp prioritārajiem politikas plānošanas dokumentu rīcības plāna uzdevumiem izvirzīto mērķu sasniegšanai ir efektivitātes palielināšana attiecīgās nozares dažādās jomās, t.i., ekonomiskā, administratīvā, sociālā u.c. [</w:t>
      </w:r>
      <w:r w:rsidRPr="00961866">
        <w:rPr>
          <w:rFonts w:ascii="Times New Roman" w:eastAsia="Calibri" w:hAnsi="Times New Roman" w:cs="Times New Roman"/>
          <w:color w:val="000000"/>
          <w:sz w:val="24"/>
          <w:szCs w:val="24"/>
          <w:lang w:val="lv-LV" w:eastAsia="lv-LV"/>
        </w:rPr>
        <w:t>7]</w:t>
      </w:r>
      <w:r w:rsidRPr="00961866">
        <w:rPr>
          <w:rFonts w:ascii="Times New Roman" w:eastAsia="Calibri" w:hAnsi="Times New Roman" w:cs="Times New Roman"/>
          <w:sz w:val="24"/>
          <w:szCs w:val="24"/>
          <w:lang w:val="lv-LV" w:eastAsia="lv-LV"/>
        </w:rPr>
        <w:t>.</w:t>
      </w:r>
    </w:p>
    <w:p w14:paraId="52A65E10" w14:textId="77777777" w:rsidR="00961866" w:rsidRPr="00961866" w:rsidRDefault="00961866" w:rsidP="00961866">
      <w:pPr>
        <w:spacing w:after="0" w:line="240" w:lineRule="auto"/>
        <w:ind w:firstLine="284"/>
        <w:jc w:val="both"/>
        <w:rPr>
          <w:rFonts w:ascii="Times New Roman" w:eastAsia="Calibri" w:hAnsi="Times New Roman" w:cs="Times New Roman"/>
          <w:sz w:val="24"/>
          <w:szCs w:val="24"/>
          <w:lang w:val="lv-LV" w:eastAsia="lv-LV"/>
        </w:rPr>
      </w:pPr>
      <w:r w:rsidRPr="00961866">
        <w:rPr>
          <w:rFonts w:ascii="Times New Roman" w:eastAsia="Calibri" w:hAnsi="Times New Roman" w:cs="Times New Roman"/>
          <w:color w:val="000000"/>
          <w:sz w:val="24"/>
          <w:szCs w:val="24"/>
          <w:lang w:val="lv-LV" w:eastAsia="lv-LV"/>
        </w:rPr>
        <w:t xml:space="preserve">Kā viens no zinātniski pazīstamiem ekonometriskajiem instrumentiem efektivitātes novērtēšanā ir DEA metode </w:t>
      </w:r>
      <w:r w:rsidRPr="00961866">
        <w:rPr>
          <w:rFonts w:ascii="Times New Roman" w:eastAsia="Calibri" w:hAnsi="Times New Roman" w:cs="Times New Roman"/>
          <w:sz w:val="24"/>
          <w:szCs w:val="24"/>
          <w:lang w:val="lv-LV" w:eastAsia="lv-LV"/>
        </w:rPr>
        <w:t>[</w:t>
      </w:r>
      <w:r w:rsidRPr="00961866">
        <w:rPr>
          <w:rFonts w:ascii="Times New Roman" w:eastAsia="Calibri" w:hAnsi="Times New Roman" w:cs="Times New Roman"/>
          <w:color w:val="000000"/>
          <w:sz w:val="24"/>
          <w:szCs w:val="24"/>
          <w:lang w:val="lv-LV" w:eastAsia="lv-LV"/>
        </w:rPr>
        <w:t>16]. Minētā metode ir plaši pielietota daudzās tautsaimniecības nozarēs ārpus Latvijas, taču tās pielietošana Latvijā ir visai ierobežota. Pētījums demonstrē efektivitātes novērtēšanas instrumenta- DEA izmantošanu tautsaimniecības nozarēs, papildus uzmanību pievēršot veselības un sociālai jomai.</w:t>
      </w:r>
    </w:p>
    <w:p w14:paraId="53736533" w14:textId="77777777" w:rsidR="00961866" w:rsidRDefault="00961866" w:rsidP="00961866">
      <w:pPr>
        <w:spacing w:after="200" w:line="240" w:lineRule="auto"/>
        <w:ind w:firstLine="284"/>
        <w:jc w:val="both"/>
        <w:rPr>
          <w:rFonts w:ascii="Times New Roman" w:eastAsia="Calibri" w:hAnsi="Times New Roman" w:cs="Times New Roman"/>
          <w:sz w:val="24"/>
          <w:szCs w:val="24"/>
          <w:lang w:val="lv-LV" w:eastAsia="lv-LV"/>
        </w:rPr>
      </w:pPr>
      <w:r w:rsidRPr="00961866">
        <w:rPr>
          <w:rFonts w:ascii="Times New Roman" w:eastAsia="Calibri" w:hAnsi="Times New Roman" w:cs="Times New Roman"/>
          <w:sz w:val="24"/>
          <w:szCs w:val="24"/>
          <w:lang w:val="lv-LV" w:eastAsia="lv-LV"/>
        </w:rPr>
        <w:t>Šī pētījuma mērķis ir veikt literatūras pārskatu par efektivitātes novērtēšanas metodēm publiskajā sektorā, akcentējot veselības aprūpes un sociālo jomu izmantojot literatūras analīzi kā izpētes metodi.</w:t>
      </w:r>
    </w:p>
    <w:p w14:paraId="48C93455" w14:textId="77777777" w:rsidR="00FE403A" w:rsidRDefault="00FE403A" w:rsidP="00961866">
      <w:pPr>
        <w:spacing w:after="200" w:line="240" w:lineRule="auto"/>
        <w:ind w:firstLine="284"/>
        <w:jc w:val="both"/>
        <w:rPr>
          <w:rFonts w:ascii="Times New Roman" w:eastAsia="Calibri" w:hAnsi="Times New Roman" w:cs="Times New Roman"/>
          <w:sz w:val="24"/>
          <w:szCs w:val="24"/>
          <w:lang w:val="lv-LV" w:eastAsia="lv-LV"/>
        </w:rPr>
      </w:pPr>
    </w:p>
    <w:p w14:paraId="0CFE4A1F" w14:textId="7D3DD960" w:rsidR="00961866" w:rsidRPr="00961866" w:rsidRDefault="00961866" w:rsidP="00961866">
      <w:pPr>
        <w:spacing w:after="0" w:line="240" w:lineRule="auto"/>
        <w:ind w:firstLine="284"/>
        <w:jc w:val="center"/>
        <w:rPr>
          <w:rFonts w:ascii="Times New Roman" w:eastAsia="Calibri" w:hAnsi="Times New Roman" w:cs="Times New Roman"/>
          <w:b/>
          <w:sz w:val="24"/>
          <w:szCs w:val="24"/>
          <w:lang w:val="lv-LV" w:eastAsia="lv-LV"/>
        </w:rPr>
      </w:pPr>
      <w:r w:rsidRPr="00961866">
        <w:rPr>
          <w:rFonts w:ascii="Times New Roman" w:eastAsia="Calibri" w:hAnsi="Times New Roman" w:cs="Times New Roman"/>
          <w:b/>
          <w:sz w:val="24"/>
          <w:szCs w:val="24"/>
          <w:lang w:val="lv-LV" w:eastAsia="lv-LV"/>
        </w:rPr>
        <w:lastRenderedPageBreak/>
        <w:t>SVARĪG</w:t>
      </w:r>
      <w:r w:rsidR="003368D2">
        <w:rPr>
          <w:rFonts w:ascii="Times New Roman" w:eastAsia="Calibri" w:hAnsi="Times New Roman" w:cs="Times New Roman"/>
          <w:b/>
          <w:sz w:val="24"/>
          <w:szCs w:val="24"/>
          <w:lang w:val="lv-LV" w:eastAsia="lv-LV"/>
        </w:rPr>
        <w:t>ĀKĀS ATZIŅAS TEORIJĀ UN PRAKSĒ.</w:t>
      </w:r>
      <w:r w:rsidRPr="00961866">
        <w:rPr>
          <w:rFonts w:ascii="Times New Roman" w:eastAsia="Calibri" w:hAnsi="Times New Roman" w:cs="Times New Roman"/>
          <w:b/>
          <w:sz w:val="24"/>
          <w:szCs w:val="24"/>
          <w:lang w:val="lv-LV" w:eastAsia="lv-LV"/>
        </w:rPr>
        <w:t xml:space="preserve"> BASIC THEORETICAL AND PRACTICAL PROVISION</w:t>
      </w:r>
    </w:p>
    <w:p w14:paraId="126E2CA7" w14:textId="77777777" w:rsidR="00961866" w:rsidRPr="00961866" w:rsidRDefault="00961866" w:rsidP="00961866">
      <w:pPr>
        <w:spacing w:after="0" w:line="240" w:lineRule="auto"/>
        <w:ind w:firstLine="284"/>
        <w:jc w:val="both"/>
        <w:rPr>
          <w:rFonts w:ascii="Times New Roman" w:eastAsia="Calibri" w:hAnsi="Times New Roman" w:cs="Times New Roman"/>
          <w:b/>
          <w:sz w:val="24"/>
          <w:szCs w:val="24"/>
          <w:lang w:val="lv-LV" w:eastAsia="lv-LV"/>
        </w:rPr>
      </w:pPr>
      <w:r w:rsidRPr="00961866">
        <w:rPr>
          <w:rFonts w:ascii="Times New Roman" w:eastAsia="Calibri" w:hAnsi="Times New Roman" w:cs="Times New Roman"/>
          <w:sz w:val="24"/>
          <w:szCs w:val="24"/>
          <w:lang w:val="lv-LV" w:eastAsia="lv-LV"/>
        </w:rPr>
        <w:t>Apstākļos, kad finanšu līdzekļi ir ierobežoti, kā arī aizvien pieaugošās demogrāfiskās struktūras izmaiņu dēļ, ir svarīgi panākt pēc iespējas efektīvāku finanšu līdzekļu izmantošanu ilglaicīgās sociālās aprūpes institūcijās. Latvijā līdz šim nav vērtēta ilglaicīgo aprūpes iestāžu produktivitāte un efektivitāte finanšu līdzekļu izmantošanas kontekstā, izmantojot uz zinātni balstītas ekonometriskās metodes.</w:t>
      </w:r>
    </w:p>
    <w:p w14:paraId="27B3CEA6" w14:textId="77777777" w:rsidR="00961866" w:rsidRPr="00961866" w:rsidRDefault="00961866" w:rsidP="00961866">
      <w:pPr>
        <w:spacing w:after="0" w:line="240" w:lineRule="auto"/>
        <w:ind w:firstLine="284"/>
        <w:jc w:val="both"/>
        <w:rPr>
          <w:rFonts w:ascii="Times New Roman" w:eastAsia="Calibri" w:hAnsi="Times New Roman" w:cs="Times New Roman"/>
          <w:sz w:val="24"/>
          <w:szCs w:val="24"/>
          <w:lang w:val="lv-LV" w:eastAsia="lv-LV"/>
        </w:rPr>
      </w:pPr>
      <w:r w:rsidRPr="00961866">
        <w:rPr>
          <w:rFonts w:ascii="Times New Roman" w:eastAsia="Calibri" w:hAnsi="Times New Roman" w:cs="Times New Roman"/>
          <w:sz w:val="24"/>
          <w:szCs w:val="24"/>
          <w:lang w:val="lv-LV" w:eastAsia="lv-LV"/>
        </w:rPr>
        <w:t>Pēc iedzīvotāju skaita prognozēm Eiropas Komisijas dati liecina, ka cilvēku skaits vecumā virs 60 gadiem Eiropā turpina palielināties, bet darba spējīgo cilvēku skaits samazinās, un pēc Eiropas centrālās statistikas prognozēm šī tendence saglabāsies nākošajā desmitgadē [</w:t>
      </w:r>
      <w:r w:rsidRPr="00961866">
        <w:rPr>
          <w:rFonts w:ascii="Times New Roman" w:eastAsia="Calibri" w:hAnsi="Times New Roman" w:cs="Times New Roman"/>
          <w:color w:val="000000"/>
          <w:sz w:val="24"/>
          <w:szCs w:val="24"/>
          <w:lang w:val="lv-LV" w:eastAsia="lv-LV"/>
        </w:rPr>
        <w:t>22</w:t>
      </w:r>
      <w:r w:rsidRPr="00961866">
        <w:rPr>
          <w:rFonts w:ascii="Times New Roman" w:eastAsia="Calibri" w:hAnsi="Times New Roman" w:cs="Times New Roman"/>
          <w:sz w:val="24"/>
          <w:szCs w:val="24"/>
          <w:lang w:val="lv-LV" w:eastAsia="lv-LV"/>
        </w:rPr>
        <w:t>,</w:t>
      </w:r>
      <w:r w:rsidRPr="00961866">
        <w:rPr>
          <w:rFonts w:ascii="Times New Roman" w:eastAsia="Calibri" w:hAnsi="Times New Roman" w:cs="Times New Roman"/>
          <w:color w:val="000000"/>
          <w:sz w:val="24"/>
          <w:szCs w:val="24"/>
          <w:lang w:val="lv-LV" w:eastAsia="lv-LV"/>
        </w:rPr>
        <w:t>30,6]</w:t>
      </w:r>
      <w:r w:rsidRPr="00961866">
        <w:rPr>
          <w:rFonts w:ascii="Times New Roman" w:eastAsia="Calibri" w:hAnsi="Times New Roman" w:cs="Times New Roman"/>
          <w:sz w:val="24"/>
          <w:szCs w:val="24"/>
          <w:lang w:val="lv-LV" w:eastAsia="lv-LV"/>
        </w:rPr>
        <w:t>.</w:t>
      </w:r>
    </w:p>
    <w:p w14:paraId="380B70D3" w14:textId="77777777" w:rsidR="00961866" w:rsidRPr="00961866" w:rsidRDefault="00961866" w:rsidP="00961866">
      <w:pPr>
        <w:spacing w:after="0" w:line="240" w:lineRule="auto"/>
        <w:ind w:firstLine="284"/>
        <w:jc w:val="both"/>
        <w:rPr>
          <w:rFonts w:ascii="Times New Roman" w:eastAsia="Calibri" w:hAnsi="Times New Roman" w:cs="Times New Roman"/>
          <w:sz w:val="24"/>
          <w:szCs w:val="24"/>
          <w:lang w:val="lv-LV" w:eastAsia="lv-LV"/>
        </w:rPr>
      </w:pPr>
      <w:r w:rsidRPr="00961866">
        <w:rPr>
          <w:rFonts w:ascii="Times New Roman" w:eastAsia="Calibri" w:hAnsi="Times New Roman" w:cs="Times New Roman"/>
          <w:sz w:val="24"/>
          <w:szCs w:val="24"/>
          <w:lang w:val="lv-LV" w:eastAsia="lv-LV"/>
        </w:rPr>
        <w:t>Līdzšinējās tendences norāda, ka vecuma grupā 65 un vairāk gadi iedzīvotāju skaits Latvijā ir pieaudzis. Laika posmā no 2007.gada līdz 2017.gadam, tas ir pieaudzis par 3 691 personu jeb procentuāli par 1%. Attiecīgi ir vērojams pieaugums arī ilglaicīgo sociālo pansionātu iemītnieku skaitā. Minētā laika posma ietvaros tas ir pieaudzis par 1172 personām jeb 20%. Šāds pieaugums iespējams ir palielinājis ilglaicīgo sociālo aprūpes institūciju noslogojumu [</w:t>
      </w:r>
      <w:r w:rsidRPr="00961866">
        <w:rPr>
          <w:rFonts w:ascii="Times New Roman" w:eastAsia="Calibri" w:hAnsi="Times New Roman" w:cs="Times New Roman"/>
          <w:color w:val="000000"/>
          <w:sz w:val="24"/>
          <w:szCs w:val="24"/>
          <w:lang w:val="lv-LV" w:eastAsia="lv-LV"/>
        </w:rPr>
        <w:t>3,4]</w:t>
      </w:r>
      <w:r w:rsidRPr="00961866">
        <w:rPr>
          <w:rFonts w:ascii="Times New Roman" w:eastAsia="Calibri" w:hAnsi="Times New Roman" w:cs="Times New Roman"/>
          <w:sz w:val="24"/>
          <w:szCs w:val="24"/>
          <w:lang w:val="lv-LV" w:eastAsia="lv-LV"/>
        </w:rPr>
        <w:t>.</w:t>
      </w:r>
    </w:p>
    <w:p w14:paraId="29F4232C" w14:textId="77777777" w:rsidR="00961866" w:rsidRPr="00961866" w:rsidRDefault="00961866" w:rsidP="00961866">
      <w:pPr>
        <w:spacing w:after="0" w:line="240" w:lineRule="auto"/>
        <w:ind w:firstLine="284"/>
        <w:jc w:val="both"/>
        <w:outlineLvl w:val="0"/>
        <w:rPr>
          <w:rFonts w:ascii="Times New Roman" w:eastAsia="Calibri" w:hAnsi="Times New Roman" w:cs="Times New Roman"/>
          <w:bCs/>
          <w:kern w:val="36"/>
          <w:sz w:val="24"/>
          <w:szCs w:val="24"/>
          <w:shd w:val="clear" w:color="auto" w:fill="FFFFFF"/>
          <w:lang w:val="lv-LV" w:eastAsia="lv-LV"/>
        </w:rPr>
      </w:pPr>
      <w:r w:rsidRPr="00961866">
        <w:rPr>
          <w:rFonts w:ascii="Times New Roman" w:eastAsia="Calibri" w:hAnsi="Times New Roman" w:cs="Times New Roman"/>
          <w:bCs/>
          <w:kern w:val="36"/>
          <w:sz w:val="24"/>
          <w:szCs w:val="24"/>
          <w:shd w:val="clear" w:color="auto" w:fill="FFFFFF"/>
          <w:lang w:val="lv-LV" w:eastAsia="lv-LV"/>
        </w:rPr>
        <w:t xml:space="preserve">Labklājības ministrijas projekta "Profesionāla sociālā darba attīstība pašvaldībās" ietvaros tika veikts pētījums </w:t>
      </w:r>
      <w:r w:rsidRPr="00961866">
        <w:rPr>
          <w:rFonts w:ascii="Times New Roman" w:eastAsia="Calibri" w:hAnsi="Times New Roman" w:cs="Times New Roman"/>
          <w:bCs/>
          <w:kern w:val="36"/>
          <w:sz w:val="24"/>
          <w:szCs w:val="24"/>
          <w:lang w:val="lv-LV" w:eastAsia="lv-LV"/>
        </w:rPr>
        <w:t>„ Pašvaldību sociālo dienestu un sociālā darba speciālistu darbības efektivitātes novērtēšanas rezultāti un to analīze” [</w:t>
      </w:r>
      <w:r w:rsidRPr="00961866">
        <w:rPr>
          <w:rFonts w:ascii="Times New Roman" w:eastAsia="Calibri" w:hAnsi="Times New Roman" w:cs="Times New Roman"/>
          <w:bCs/>
          <w:color w:val="000000"/>
          <w:kern w:val="36"/>
          <w:sz w:val="24"/>
          <w:szCs w:val="24"/>
          <w:lang w:val="lv-LV" w:eastAsia="lv-LV"/>
        </w:rPr>
        <w:t>10]</w:t>
      </w:r>
      <w:r w:rsidRPr="00961866">
        <w:rPr>
          <w:rFonts w:ascii="Times New Roman" w:eastAsia="Calibri" w:hAnsi="Times New Roman" w:cs="Times New Roman"/>
          <w:bCs/>
          <w:kern w:val="36"/>
          <w:sz w:val="24"/>
          <w:szCs w:val="24"/>
          <w:lang w:val="lv-LV" w:eastAsia="lv-LV"/>
        </w:rPr>
        <w:t>.</w:t>
      </w:r>
      <w:r w:rsidRPr="00961866">
        <w:rPr>
          <w:rFonts w:ascii="Times New Roman" w:eastAsia="Calibri" w:hAnsi="Times New Roman" w:cs="Times New Roman"/>
          <w:bCs/>
          <w:kern w:val="36"/>
          <w:sz w:val="24"/>
          <w:szCs w:val="24"/>
          <w:shd w:val="clear" w:color="auto" w:fill="FFFFFF"/>
          <w:lang w:val="lv-LV" w:eastAsia="lv-LV"/>
        </w:rPr>
        <w:t xml:space="preserve"> Pētījums ietver sociālo dienestu un sociālā darba speciālistu darbības efektivitātes novērtējumu, bet pētījuma metodoloģija balstās galveno kārt uz padziļinātu interviju, anketēšanas un aptauju rezultātiem </w:t>
      </w:r>
      <w:r w:rsidRPr="00961866">
        <w:rPr>
          <w:rFonts w:ascii="Times New Roman" w:eastAsia="Calibri" w:hAnsi="Times New Roman" w:cs="Times New Roman"/>
          <w:bCs/>
          <w:kern w:val="36"/>
          <w:sz w:val="24"/>
          <w:szCs w:val="24"/>
          <w:lang w:val="lv-LV" w:eastAsia="lv-LV"/>
        </w:rPr>
        <w:t>[</w:t>
      </w:r>
      <w:r w:rsidRPr="00961866">
        <w:rPr>
          <w:rFonts w:ascii="Times New Roman" w:eastAsia="Calibri" w:hAnsi="Times New Roman" w:cs="Times New Roman"/>
          <w:bCs/>
          <w:color w:val="000000"/>
          <w:kern w:val="36"/>
          <w:sz w:val="24"/>
          <w:szCs w:val="24"/>
          <w:lang w:val="lv-LV" w:eastAsia="lv-LV"/>
        </w:rPr>
        <w:t>11]</w:t>
      </w:r>
      <w:r w:rsidRPr="00961866">
        <w:rPr>
          <w:rFonts w:ascii="Times New Roman" w:eastAsia="Calibri" w:hAnsi="Times New Roman" w:cs="Times New Roman"/>
          <w:bCs/>
          <w:kern w:val="36"/>
          <w:sz w:val="24"/>
          <w:szCs w:val="24"/>
          <w:shd w:val="clear" w:color="auto" w:fill="FFFFFF"/>
          <w:lang w:val="lv-LV" w:eastAsia="lv-LV"/>
        </w:rPr>
        <w:t>. Analizējot pētījuma metodoloģiju, respondentu atlasi un skaitu, ir pamats uzskatīt, ka šim pētījumam nav optimālas objektivitātes.</w:t>
      </w:r>
    </w:p>
    <w:p w14:paraId="15F624A1" w14:textId="77777777" w:rsidR="00961866" w:rsidRPr="00961866" w:rsidRDefault="00961866" w:rsidP="00961866">
      <w:pPr>
        <w:spacing w:after="313" w:line="240" w:lineRule="auto"/>
        <w:ind w:firstLine="284"/>
        <w:jc w:val="both"/>
        <w:outlineLvl w:val="0"/>
        <w:rPr>
          <w:rFonts w:ascii="Times New Roman" w:eastAsia="Calibri" w:hAnsi="Times New Roman" w:cs="Times New Roman"/>
          <w:bCs/>
          <w:kern w:val="36"/>
          <w:sz w:val="24"/>
          <w:szCs w:val="24"/>
          <w:lang w:val="lv-LV" w:eastAsia="lv-LV"/>
        </w:rPr>
      </w:pPr>
      <w:r w:rsidRPr="00961866">
        <w:rPr>
          <w:rFonts w:ascii="Times New Roman" w:eastAsia="Calibri" w:hAnsi="Times New Roman" w:cs="Times New Roman"/>
          <w:bCs/>
          <w:kern w:val="36"/>
          <w:sz w:val="24"/>
          <w:szCs w:val="24"/>
          <w:lang w:val="lv-LV" w:eastAsia="lv-LV"/>
        </w:rPr>
        <w:t>Pašlaik vienīgā efektivitātes analīzes metodika, kura ir izstrādāta valsts pārvaldes ietvaros ir Valsts kancelejas izstrādātā „Nozarēs veikto ieguldījumu efektivitātes analīzes [</w:t>
      </w:r>
      <w:r w:rsidRPr="00961866">
        <w:rPr>
          <w:rFonts w:ascii="Times New Roman" w:eastAsia="Calibri" w:hAnsi="Times New Roman" w:cs="Times New Roman"/>
          <w:bCs/>
          <w:color w:val="000000"/>
          <w:kern w:val="36"/>
          <w:sz w:val="24"/>
          <w:szCs w:val="24"/>
          <w:lang w:val="lv-LV" w:eastAsia="lv-LV"/>
        </w:rPr>
        <w:t>8]</w:t>
      </w:r>
      <w:r w:rsidRPr="00961866">
        <w:rPr>
          <w:rFonts w:ascii="Times New Roman" w:eastAsia="Calibri" w:hAnsi="Times New Roman" w:cs="Times New Roman"/>
          <w:bCs/>
          <w:kern w:val="36"/>
          <w:sz w:val="24"/>
          <w:szCs w:val="24"/>
          <w:lang w:val="lv-LV" w:eastAsia="lv-LV"/>
        </w:rPr>
        <w:t>. Minētā metodika netiek izmantota ministriju ikdienas darbā, to piemēro tad, ja Finanšu ministrija ir noteikusi kādu jomu, kurā veicama izvērtēšana atbilstoši metodikai [</w:t>
      </w:r>
      <w:r w:rsidRPr="00961866">
        <w:rPr>
          <w:rFonts w:ascii="Times New Roman" w:eastAsia="Calibri" w:hAnsi="Times New Roman" w:cs="Times New Roman"/>
          <w:bCs/>
          <w:color w:val="000000"/>
          <w:kern w:val="36"/>
          <w:sz w:val="24"/>
          <w:szCs w:val="24"/>
          <w:lang w:val="lv-LV" w:eastAsia="lv-LV"/>
        </w:rPr>
        <w:t>8]</w:t>
      </w:r>
      <w:r w:rsidRPr="00961866">
        <w:rPr>
          <w:rFonts w:ascii="Times New Roman" w:eastAsia="Calibri" w:hAnsi="Times New Roman" w:cs="Times New Roman"/>
          <w:bCs/>
          <w:kern w:val="36"/>
          <w:sz w:val="24"/>
          <w:szCs w:val="24"/>
          <w:lang w:val="lv-LV" w:eastAsia="lv-LV"/>
        </w:rPr>
        <w:t>. Šī metodika, kuras ietvaros tiek salīdzināti nozarē ieguldītie finanšu līdzekļi un rezultatīvie rādītāji attiecība pret citu valstu rezultātiem vai izmantojot Latvijā vēsturiski pieejamos datus noteiktā nozarē, var palīdzēt budžeta plānošanai un nozares politikas veidošanai, tomēr atkarībā no rezultāta, ja tas ir neapmierinošs, ir nepieciešams veikt papildus pētījumus, lai noskaidrotu šo zemo rādījumu iemeslus [</w:t>
      </w:r>
      <w:r w:rsidRPr="00961866">
        <w:rPr>
          <w:rFonts w:ascii="Times New Roman" w:eastAsia="Calibri" w:hAnsi="Times New Roman" w:cs="Times New Roman"/>
          <w:bCs/>
          <w:color w:val="000000"/>
          <w:kern w:val="36"/>
          <w:sz w:val="24"/>
          <w:szCs w:val="24"/>
          <w:lang w:val="lv-LV" w:eastAsia="lv-LV"/>
        </w:rPr>
        <w:t>9]</w:t>
      </w:r>
      <w:r w:rsidRPr="00961866">
        <w:rPr>
          <w:rFonts w:ascii="Times New Roman" w:eastAsia="Calibri" w:hAnsi="Times New Roman" w:cs="Times New Roman"/>
          <w:bCs/>
          <w:kern w:val="36"/>
          <w:sz w:val="24"/>
          <w:szCs w:val="24"/>
          <w:lang w:val="lv-LV" w:eastAsia="lv-LV"/>
        </w:rPr>
        <w:t>. Tomēr jāatzīmē, ka viena no efektivitātes novērtēšanas biežāk pielietotām metodēm dažādās tautsaimniecības un biznesa nozarēs ir Data Envelopement Analysis Method -turpmāk (DEA), kura tad arī būtu pielietojama politikas realizācijas izvērtēšanai attiecībā uz efektivitāti kā sasniedzamo mērķi.</w:t>
      </w:r>
    </w:p>
    <w:p w14:paraId="1EE7FF92" w14:textId="77777777" w:rsidR="00961866" w:rsidRPr="00961866" w:rsidRDefault="00961866" w:rsidP="00961866">
      <w:pPr>
        <w:spacing w:after="200" w:line="240" w:lineRule="auto"/>
        <w:ind w:firstLine="284"/>
        <w:jc w:val="both"/>
        <w:rPr>
          <w:rFonts w:ascii="Times New Roman" w:eastAsia="Calibri" w:hAnsi="Times New Roman" w:cs="Times New Roman"/>
          <w:sz w:val="24"/>
          <w:szCs w:val="24"/>
          <w:lang w:val="lv-LV" w:eastAsia="lv-LV"/>
        </w:rPr>
      </w:pPr>
      <w:r w:rsidRPr="00961866">
        <w:rPr>
          <w:rFonts w:ascii="Times New Roman" w:eastAsia="Calibri" w:hAnsi="Times New Roman" w:cs="Times New Roman"/>
          <w:b/>
          <w:sz w:val="24"/>
          <w:szCs w:val="24"/>
          <w:lang w:val="lv-LV" w:eastAsia="lv-LV"/>
        </w:rPr>
        <w:t>Pētījuma rezultāti un to izvērtējums</w:t>
      </w:r>
    </w:p>
    <w:p w14:paraId="454437AA" w14:textId="77777777" w:rsidR="00961866" w:rsidRPr="00961866" w:rsidRDefault="00961866" w:rsidP="00961866">
      <w:pPr>
        <w:spacing w:before="100" w:beforeAutospacing="1" w:after="0" w:line="240" w:lineRule="auto"/>
        <w:ind w:right="-1" w:firstLine="284"/>
        <w:jc w:val="both"/>
        <w:rPr>
          <w:rFonts w:ascii="Times New Roman" w:eastAsia="Calibri" w:hAnsi="Times New Roman" w:cs="Times New Roman"/>
          <w:sz w:val="24"/>
          <w:szCs w:val="24"/>
          <w:lang w:val="lv-LV" w:eastAsia="lv-LV"/>
        </w:rPr>
      </w:pPr>
      <w:r w:rsidRPr="00961866">
        <w:rPr>
          <w:rFonts w:ascii="Times New Roman" w:eastAsia="Calibri" w:hAnsi="Times New Roman" w:cs="Times New Roman"/>
          <w:sz w:val="24"/>
          <w:szCs w:val="24"/>
          <w:lang w:val="lv-LV" w:eastAsia="lv-LV"/>
        </w:rPr>
        <w:t>DEA metode ir uzskatāma par vienu no metodēm, kura analizē un pēta sakarību starp ieguldītajiem resursiem un iegūtajiem rezultātiem. Šobrīd DEA metode tiek pielietota gan publiskā sektorā, novērtējot skolas, slimnīcas, veselības aprūpes sistēmas un augstskolas, gan arī privātā sektora novērtēšanai, piemēram, bankas un finanšu institūcijas [</w:t>
      </w:r>
      <w:r w:rsidRPr="00961866">
        <w:rPr>
          <w:rFonts w:ascii="Times New Roman" w:eastAsia="Calibri" w:hAnsi="Times New Roman" w:cs="Times New Roman"/>
          <w:color w:val="000000"/>
          <w:sz w:val="24"/>
          <w:szCs w:val="24"/>
          <w:lang w:val="lv-LV" w:eastAsia="lv-LV"/>
        </w:rPr>
        <w:t>21]</w:t>
      </w:r>
      <w:r w:rsidRPr="00961866">
        <w:rPr>
          <w:rFonts w:ascii="Times New Roman" w:eastAsia="Calibri" w:hAnsi="Times New Roman" w:cs="Times New Roman"/>
          <w:sz w:val="24"/>
          <w:szCs w:val="24"/>
          <w:lang w:val="lv-LV" w:eastAsia="lv-LV"/>
        </w:rPr>
        <w:t>. Dānijas finanšu ministrija ir atdzinusi DEA metodi par vienu no labākām salīdzinot publiskā sektora organizācijas [</w:t>
      </w:r>
      <w:r w:rsidRPr="00961866">
        <w:rPr>
          <w:rFonts w:ascii="Times New Roman" w:eastAsia="Calibri" w:hAnsi="Times New Roman" w:cs="Times New Roman"/>
          <w:color w:val="000000"/>
          <w:sz w:val="24"/>
          <w:szCs w:val="24"/>
          <w:lang w:val="lv-LV" w:eastAsia="lv-LV"/>
        </w:rPr>
        <w:t>24]</w:t>
      </w:r>
      <w:r w:rsidRPr="00961866">
        <w:rPr>
          <w:rFonts w:ascii="Times New Roman" w:eastAsia="Calibri" w:hAnsi="Times New Roman" w:cs="Times New Roman"/>
          <w:sz w:val="24"/>
          <w:szCs w:val="24"/>
          <w:lang w:val="lv-LV" w:eastAsia="lv-LV"/>
        </w:rPr>
        <w:t xml:space="preserve">. </w:t>
      </w:r>
    </w:p>
    <w:p w14:paraId="6518545D" w14:textId="77777777" w:rsidR="00961866" w:rsidRPr="00961866" w:rsidRDefault="00961866" w:rsidP="00961866">
      <w:pPr>
        <w:spacing w:after="0" w:line="240" w:lineRule="auto"/>
        <w:ind w:right="-1" w:firstLine="284"/>
        <w:jc w:val="both"/>
        <w:rPr>
          <w:rFonts w:ascii="Times New Roman" w:eastAsia="Calibri" w:hAnsi="Times New Roman" w:cs="Times New Roman"/>
          <w:sz w:val="24"/>
          <w:szCs w:val="24"/>
          <w:lang w:val="lv-LV" w:eastAsia="lv-LV"/>
        </w:rPr>
      </w:pPr>
      <w:r w:rsidRPr="00961866">
        <w:rPr>
          <w:rFonts w:ascii="Times New Roman" w:eastAsia="Calibri" w:hAnsi="Times New Roman" w:cs="Times New Roman"/>
          <w:sz w:val="24"/>
          <w:szCs w:val="24"/>
          <w:lang w:val="lv-LV" w:eastAsia="lv-LV"/>
        </w:rPr>
        <w:t>Par vienu no nozīmīgākajiem autoriem šajā jomā tiek minēts Maikls Džeims Farells, kurš 1957.gada savā publikācijā aprakstīja nepieciešamību attīstīt labākus modeļus organizāciju produktivitātes labākai izvērtēšanai [</w:t>
      </w:r>
      <w:r w:rsidRPr="00961866">
        <w:rPr>
          <w:rFonts w:ascii="Times New Roman" w:eastAsia="Calibri" w:hAnsi="Times New Roman" w:cs="Times New Roman"/>
          <w:color w:val="000000"/>
          <w:sz w:val="24"/>
          <w:szCs w:val="24"/>
          <w:lang w:val="lv-LV" w:eastAsia="lv-LV"/>
        </w:rPr>
        <w:t>17]</w:t>
      </w:r>
      <w:r w:rsidRPr="00961866">
        <w:rPr>
          <w:rFonts w:ascii="Times New Roman" w:eastAsia="Calibri" w:hAnsi="Times New Roman" w:cs="Times New Roman"/>
          <w:sz w:val="24"/>
          <w:szCs w:val="24"/>
          <w:lang w:val="lv-LV" w:eastAsia="lv-LV"/>
        </w:rPr>
        <w:t>. Balstoties uz M. Dž. Farella idejām, pirmreizēji DEA metodi prezentēja Abrahams Charnes, Vilijams Coopers un Edvardo Rhodes [</w:t>
      </w:r>
      <w:r w:rsidRPr="00961866">
        <w:rPr>
          <w:rFonts w:ascii="Times New Roman" w:eastAsia="Calibri" w:hAnsi="Times New Roman" w:cs="Times New Roman"/>
          <w:color w:val="000000"/>
          <w:sz w:val="24"/>
          <w:szCs w:val="24"/>
          <w:lang w:val="lv-LV" w:eastAsia="lv-LV"/>
        </w:rPr>
        <w:t>15]</w:t>
      </w:r>
      <w:r w:rsidRPr="00961866">
        <w:rPr>
          <w:rFonts w:ascii="Times New Roman" w:eastAsia="Calibri" w:hAnsi="Times New Roman" w:cs="Times New Roman"/>
          <w:sz w:val="24"/>
          <w:szCs w:val="24"/>
          <w:lang w:val="lv-LV" w:eastAsia="lv-LV"/>
        </w:rPr>
        <w:t xml:space="preserve">. </w:t>
      </w:r>
    </w:p>
    <w:p w14:paraId="71696B4B" w14:textId="77777777" w:rsidR="00961866" w:rsidRPr="00961866" w:rsidRDefault="00961866" w:rsidP="00961866">
      <w:pPr>
        <w:spacing w:after="0" w:line="240" w:lineRule="auto"/>
        <w:ind w:right="-1" w:firstLine="284"/>
        <w:jc w:val="both"/>
        <w:rPr>
          <w:rFonts w:ascii="Times New Roman" w:eastAsia="Calibri" w:hAnsi="Times New Roman" w:cs="Times New Roman"/>
          <w:sz w:val="24"/>
          <w:szCs w:val="24"/>
          <w:lang w:val="lv-LV" w:eastAsia="lv-LV"/>
        </w:rPr>
      </w:pPr>
      <w:r w:rsidRPr="00961866">
        <w:rPr>
          <w:rFonts w:ascii="Times New Roman" w:eastAsia="Calibri" w:hAnsi="Times New Roman" w:cs="Times New Roman"/>
          <w:sz w:val="24"/>
          <w:szCs w:val="24"/>
          <w:lang w:val="lv-LV" w:eastAsia="lv-LV"/>
        </w:rPr>
        <w:t xml:space="preserve">Meklējot zinātnisko literatūru par efektivitātes vērtējumiem publiskajā sektorā, datubāzēs ir atrodamas publikācijas, kurās ir vērtētas slimnīcas, veselības aprūpes sistēmas un sociālās aprūpes institūcijas. Piemēram, Jacobs R. izmantojot DEA un SFA (Stochastic Erontier Analysis) metode, ir </w:t>
      </w:r>
      <w:r w:rsidRPr="00961866">
        <w:rPr>
          <w:rFonts w:ascii="Times New Roman" w:eastAsia="Calibri" w:hAnsi="Times New Roman" w:cs="Times New Roman"/>
          <w:sz w:val="24"/>
          <w:szCs w:val="24"/>
          <w:lang w:val="lv-LV" w:eastAsia="lv-LV"/>
        </w:rPr>
        <w:lastRenderedPageBreak/>
        <w:t>vērtējusi slimnīcu izmaksu efektivitāti [</w:t>
      </w:r>
      <w:r w:rsidRPr="00961866">
        <w:rPr>
          <w:rFonts w:ascii="Times New Roman" w:eastAsia="Calibri" w:hAnsi="Times New Roman" w:cs="Times New Roman"/>
          <w:color w:val="000000"/>
          <w:sz w:val="24"/>
          <w:szCs w:val="24"/>
          <w:lang w:val="lv-LV" w:eastAsia="lv-LV"/>
        </w:rPr>
        <w:t>25]</w:t>
      </w:r>
      <w:r w:rsidRPr="00961866">
        <w:rPr>
          <w:rFonts w:ascii="Times New Roman" w:eastAsia="Calibri" w:hAnsi="Times New Roman" w:cs="Times New Roman"/>
          <w:sz w:val="24"/>
          <w:szCs w:val="24"/>
          <w:lang w:val="lv-LV" w:eastAsia="lv-LV"/>
        </w:rPr>
        <w:t>. Arī citi autori ir izmantojuši DEA slimnīcu izmaksu efektivitātes vērtēšanā [</w:t>
      </w:r>
      <w:r w:rsidRPr="00961866">
        <w:rPr>
          <w:rFonts w:ascii="Times New Roman" w:eastAsia="Calibri" w:hAnsi="Times New Roman" w:cs="Times New Roman"/>
          <w:color w:val="000000"/>
          <w:sz w:val="24"/>
          <w:szCs w:val="24"/>
          <w:lang w:val="lv-LV" w:eastAsia="lv-LV"/>
        </w:rPr>
        <w:t>23,36]</w:t>
      </w:r>
      <w:r w:rsidRPr="00961866">
        <w:rPr>
          <w:rFonts w:ascii="Times New Roman" w:eastAsia="Calibri" w:hAnsi="Times New Roman" w:cs="Times New Roman"/>
          <w:sz w:val="24"/>
          <w:szCs w:val="24"/>
          <w:lang w:val="lv-LV" w:eastAsia="lv-LV"/>
        </w:rPr>
        <w:t>. Atsevišķi literatūras avoti norāda, ka DEA metode ir izmantota novērtējot pat veselības aprūpes sistēmas. Piemēram, tādi autori kā Elba F. et al DEA metodi ir izmantojuši veselības aprūpes sistēmas novērtēšanai Itālijā [</w:t>
      </w:r>
      <w:r w:rsidRPr="00961866">
        <w:rPr>
          <w:rFonts w:ascii="Times New Roman" w:eastAsia="Calibri" w:hAnsi="Times New Roman" w:cs="Times New Roman"/>
          <w:color w:val="000000"/>
          <w:sz w:val="24"/>
          <w:szCs w:val="24"/>
          <w:lang w:val="lv-LV" w:eastAsia="lv-LV"/>
        </w:rPr>
        <w:t>20]</w:t>
      </w:r>
      <w:r w:rsidRPr="00961866">
        <w:rPr>
          <w:rFonts w:ascii="Times New Roman" w:eastAsia="Calibri" w:hAnsi="Times New Roman" w:cs="Times New Roman"/>
          <w:sz w:val="24"/>
          <w:szCs w:val="24"/>
          <w:lang w:val="lv-LV" w:eastAsia="lv-LV"/>
        </w:rPr>
        <w:t>. Savukārt, Medeiros J. un Schwiers C. izmantoja DEA un SFA metodes Eiropas Savienības veselības aprūpes sistēmu novērtēšanai [</w:t>
      </w:r>
      <w:r w:rsidRPr="00961866">
        <w:rPr>
          <w:rFonts w:ascii="Times New Roman" w:eastAsia="Calibri" w:hAnsi="Times New Roman" w:cs="Times New Roman"/>
          <w:color w:val="000000"/>
          <w:sz w:val="24"/>
          <w:szCs w:val="24"/>
          <w:lang w:val="lv-LV" w:eastAsia="lv-LV"/>
        </w:rPr>
        <w:t>29]</w:t>
      </w:r>
      <w:r w:rsidRPr="00961866">
        <w:rPr>
          <w:rFonts w:ascii="Times New Roman" w:eastAsia="Calibri" w:hAnsi="Times New Roman" w:cs="Times New Roman"/>
          <w:sz w:val="24"/>
          <w:szCs w:val="24"/>
          <w:lang w:val="lv-LV" w:eastAsia="lv-LV"/>
        </w:rPr>
        <w:t>. Arī Eiropas Veselības sistēmu un politiku observatorija ir izmantojusi DEA metodi veselības sistēmu vērtēšanā [</w:t>
      </w:r>
      <w:r w:rsidRPr="00961866">
        <w:rPr>
          <w:rFonts w:ascii="Times New Roman" w:eastAsia="Calibri" w:hAnsi="Times New Roman" w:cs="Times New Roman"/>
          <w:color w:val="000000"/>
          <w:sz w:val="24"/>
          <w:szCs w:val="24"/>
          <w:lang w:val="lv-LV" w:eastAsia="lv-LV"/>
        </w:rPr>
        <w:t xml:space="preserve">18]. </w:t>
      </w:r>
      <w:r w:rsidRPr="00961866">
        <w:rPr>
          <w:rFonts w:ascii="Times New Roman" w:eastAsia="Calibri" w:hAnsi="Times New Roman" w:cs="Times New Roman"/>
          <w:sz w:val="24"/>
          <w:szCs w:val="24"/>
          <w:lang w:val="lv-LV" w:eastAsia="lv-LV"/>
        </w:rPr>
        <w:t>Attiecībā uz ilglaicīgās sociālās aprūpes iestādēm DEA metode ir izmantota vērtējot šo iestāžu tehnisko efektivitāti [</w:t>
      </w:r>
      <w:r w:rsidRPr="00961866">
        <w:rPr>
          <w:rFonts w:ascii="Times New Roman" w:eastAsia="Calibri" w:hAnsi="Times New Roman" w:cs="Times New Roman"/>
          <w:color w:val="000000"/>
          <w:sz w:val="24"/>
          <w:szCs w:val="24"/>
          <w:lang w:val="lv-LV" w:eastAsia="lv-LV"/>
        </w:rPr>
        <w:t>26]</w:t>
      </w:r>
      <w:r w:rsidRPr="00961866">
        <w:rPr>
          <w:rFonts w:ascii="Times New Roman" w:eastAsia="Calibri" w:hAnsi="Times New Roman" w:cs="Times New Roman"/>
          <w:sz w:val="24"/>
          <w:szCs w:val="24"/>
          <w:lang w:val="lv-LV" w:eastAsia="lv-LV"/>
        </w:rPr>
        <w:t>. Kooreman P. ir pētījis Nīderlandes ilglaicīgās sociālās aprūpes iestādes, secinot, ka 50% no šīm iestādēm ir efektīvas [</w:t>
      </w:r>
      <w:r w:rsidRPr="00961866">
        <w:rPr>
          <w:rFonts w:ascii="Times New Roman" w:eastAsia="Calibri" w:hAnsi="Times New Roman" w:cs="Times New Roman"/>
          <w:color w:val="000000"/>
          <w:sz w:val="24"/>
          <w:szCs w:val="24"/>
          <w:lang w:val="lv-LV" w:eastAsia="lv-LV"/>
        </w:rPr>
        <w:t>27]</w:t>
      </w:r>
      <w:r w:rsidRPr="00961866">
        <w:rPr>
          <w:rFonts w:ascii="Times New Roman" w:eastAsia="Calibri" w:hAnsi="Times New Roman" w:cs="Times New Roman"/>
          <w:sz w:val="24"/>
          <w:szCs w:val="24"/>
          <w:lang w:val="lv-LV" w:eastAsia="lv-LV"/>
        </w:rPr>
        <w:t>. Somija 2005. gadā arī ir veikusi pētījumu izmantojot DEA metodi, lai izvērtētu tehnisko efektivitāti un salīdzinātu to ar aprūpes rezultātiem ilglaicīgā sociālā aprūpes jomā. Kā kvalitātes rezultatīvie rādītāji šajā pētījumā tika izmantoti tādi rādītāji kā traumu prevalence atrodoties ilglaicīgās aprūpes iestādēs u.c., bet kā resursi ir māsu skaits, infrastruktūras lielums u.c. [</w:t>
      </w:r>
      <w:r w:rsidRPr="00961866">
        <w:rPr>
          <w:rFonts w:ascii="Times New Roman" w:eastAsia="Calibri" w:hAnsi="Times New Roman" w:cs="Times New Roman"/>
          <w:color w:val="000000"/>
          <w:sz w:val="24"/>
          <w:szCs w:val="24"/>
          <w:lang w:val="lv-LV" w:eastAsia="lv-LV"/>
        </w:rPr>
        <w:t>28].</w:t>
      </w:r>
    </w:p>
    <w:p w14:paraId="74461195" w14:textId="77777777" w:rsidR="00961866" w:rsidRPr="00961866" w:rsidRDefault="00961866" w:rsidP="00961866">
      <w:pPr>
        <w:spacing w:after="0" w:line="240" w:lineRule="auto"/>
        <w:ind w:right="-1" w:firstLine="284"/>
        <w:jc w:val="both"/>
        <w:rPr>
          <w:rFonts w:ascii="Times New Roman" w:eastAsia="Calibri" w:hAnsi="Times New Roman" w:cs="Times New Roman"/>
          <w:sz w:val="24"/>
          <w:szCs w:val="24"/>
          <w:lang w:val="lv-LV" w:eastAsia="lv-LV"/>
        </w:rPr>
      </w:pPr>
      <w:r w:rsidRPr="00961866">
        <w:rPr>
          <w:rFonts w:ascii="Times New Roman" w:eastAsia="Calibri" w:hAnsi="Times New Roman" w:cs="Times New Roman"/>
          <w:sz w:val="24"/>
          <w:szCs w:val="24"/>
          <w:lang w:val="lv-LV" w:eastAsia="lv-LV"/>
        </w:rPr>
        <w:t>Tāpat minēto metodi izmantoja pētot efektivitāti bezpeļņas un komerciālās ilglaicīgās sociālās aprūpes iestādēs [</w:t>
      </w:r>
      <w:r w:rsidRPr="00961866">
        <w:rPr>
          <w:rFonts w:ascii="Times New Roman" w:eastAsia="Calibri" w:hAnsi="Times New Roman" w:cs="Times New Roman"/>
          <w:color w:val="000000"/>
          <w:sz w:val="24"/>
          <w:szCs w:val="24"/>
          <w:lang w:val="lv-LV" w:eastAsia="lv-LV"/>
        </w:rPr>
        <w:t>31]</w:t>
      </w:r>
      <w:r w:rsidRPr="00961866">
        <w:rPr>
          <w:rFonts w:ascii="Times New Roman" w:eastAsia="Calibri" w:hAnsi="Times New Roman" w:cs="Times New Roman"/>
          <w:sz w:val="24"/>
          <w:szCs w:val="24"/>
          <w:lang w:val="lv-LV" w:eastAsia="lv-LV"/>
        </w:rPr>
        <w:t>. Saistībā ar īpašuma formām un efektivitāti pēc DEA metodes ilglaicīgās sociālās iestādēs ir veikti vairāki pētījumi. Piemēram, Anderson R. et al  pētījumā konstatē, ka ASV privātās ilglaicīgās sociālās aprūpes iestādes ir efektīvākas par nekomerciālām iestādēm [</w:t>
      </w:r>
      <w:r w:rsidRPr="00961866">
        <w:rPr>
          <w:rFonts w:ascii="Times New Roman" w:eastAsia="Calibri" w:hAnsi="Times New Roman" w:cs="Times New Roman"/>
          <w:color w:val="000000"/>
          <w:sz w:val="24"/>
          <w:szCs w:val="24"/>
          <w:lang w:val="lv-LV" w:eastAsia="lv-LV"/>
        </w:rPr>
        <w:t>13]</w:t>
      </w:r>
      <w:r w:rsidRPr="00961866">
        <w:rPr>
          <w:rFonts w:ascii="Times New Roman" w:eastAsia="Calibri" w:hAnsi="Times New Roman" w:cs="Times New Roman"/>
          <w:sz w:val="24"/>
          <w:szCs w:val="24"/>
          <w:lang w:val="lv-LV" w:eastAsia="lv-LV"/>
        </w:rPr>
        <w:t>. Taču analizējot pakalpojuma kvalitāti šī pētījuma ietvaros, atklājas, ka nekomerciālās ilglaicīgās sociālās aprūpes iestādēs pakalpojuma kvalitāte ir labāka nekā privātajās iestādēs. Saistībā ar pakalpojuma kvalitāti un efektivitāti ilglaicīgās sociālajās iestādēs ASV ir veikts vēl viens pētījums- DeLellis N. savā pētījumā norāda, ka pakalpojuma kvalitāte ilglaicīgās sociālās aprūpes iestādēs ir saistīta ar efektivitāti, proti, iestādēs, kuras ir uzrādījušas augstu efektivitāti pēc DEA, ir sliktāka aprūpes procesu kvalitāte (piemēram, ar procesu kvalitāti DeLellis pētījumā saprot pansionātu iemītnieku īpatsvaru ar pretsāpju terapiju un atsāpināšanas procesu), savukārt, aprūpes rezultatīvie rādītāji (piemēram, pansionātu iemītnieku īpatsvars ar imobilitāti) ir labāki [</w:t>
      </w:r>
      <w:r w:rsidRPr="00961866">
        <w:rPr>
          <w:rFonts w:ascii="Times New Roman" w:eastAsia="Calibri" w:hAnsi="Times New Roman" w:cs="Times New Roman"/>
          <w:color w:val="000000"/>
          <w:sz w:val="24"/>
          <w:szCs w:val="24"/>
          <w:lang w:val="lv-LV" w:eastAsia="lv-LV"/>
        </w:rPr>
        <w:t>19]</w:t>
      </w:r>
      <w:r w:rsidRPr="00961866">
        <w:rPr>
          <w:rFonts w:ascii="Times New Roman" w:eastAsia="Calibri" w:hAnsi="Times New Roman" w:cs="Times New Roman"/>
          <w:sz w:val="24"/>
          <w:szCs w:val="24"/>
          <w:lang w:val="lv-LV" w:eastAsia="lv-LV"/>
        </w:rPr>
        <w:t>. Arī citi autori ir mēģinājuši integrēt kvalitātes aspektus DEA metodē vērtējot ilglaicīgo sociālo iestāžu kvalitāti [</w:t>
      </w:r>
      <w:r w:rsidRPr="00961866">
        <w:rPr>
          <w:rFonts w:ascii="Times New Roman" w:eastAsia="Calibri" w:hAnsi="Times New Roman" w:cs="Times New Roman"/>
          <w:color w:val="000000"/>
          <w:sz w:val="24"/>
          <w:szCs w:val="24"/>
          <w:lang w:val="lv-LV" w:eastAsia="lv-LV"/>
        </w:rPr>
        <w:t>32].</w:t>
      </w:r>
    </w:p>
    <w:p w14:paraId="3F1D6C5A" w14:textId="77777777" w:rsidR="00961866" w:rsidRPr="00961866" w:rsidRDefault="00961866" w:rsidP="00961866">
      <w:pPr>
        <w:spacing w:after="0" w:line="240" w:lineRule="auto"/>
        <w:ind w:right="-1" w:firstLine="284"/>
        <w:jc w:val="both"/>
        <w:rPr>
          <w:rFonts w:ascii="Times New Roman" w:eastAsia="Calibri" w:hAnsi="Times New Roman" w:cs="Times New Roman"/>
          <w:sz w:val="24"/>
          <w:szCs w:val="24"/>
          <w:lang w:val="lv-LV" w:eastAsia="lv-LV"/>
        </w:rPr>
      </w:pPr>
      <w:r w:rsidRPr="00961866">
        <w:rPr>
          <w:rFonts w:ascii="Times New Roman" w:eastAsia="Calibri" w:hAnsi="Times New Roman" w:cs="Times New Roman"/>
          <w:sz w:val="24"/>
          <w:szCs w:val="24"/>
          <w:lang w:val="lv-LV" w:eastAsia="lv-LV"/>
        </w:rPr>
        <w:t>Populācijas novecošanas kontekstā arī Japāna ir veikusi ilglaicīgo sociālo aprūpes iestāžu efektivitātes izvērtēšanu vērtējot gan izmaksas un izdevumus, gan infrastruktūras efektivitāti, salīdzinot iestādes dažādos Japānas reģionos [</w:t>
      </w:r>
      <w:r w:rsidRPr="00961866">
        <w:rPr>
          <w:rFonts w:ascii="Times New Roman" w:eastAsia="Calibri" w:hAnsi="Times New Roman" w:cs="Times New Roman"/>
          <w:color w:val="000000"/>
          <w:sz w:val="24"/>
          <w:szCs w:val="24"/>
          <w:lang w:val="lv-LV" w:eastAsia="lv-LV"/>
        </w:rPr>
        <w:t>35]</w:t>
      </w:r>
      <w:r w:rsidRPr="00961866">
        <w:rPr>
          <w:rFonts w:ascii="Times New Roman" w:eastAsia="Calibri" w:hAnsi="Times New Roman" w:cs="Times New Roman"/>
          <w:sz w:val="24"/>
          <w:szCs w:val="24"/>
          <w:lang w:val="lv-LV" w:eastAsia="lv-LV"/>
        </w:rPr>
        <w:t>. Līdzīgi ir rīkojusies arī Eiropas Savienība, veicot pētījumu saistībā ar ilglaicīgo sociālo iestāžu efektivitāti izmantojot DEA. Eiropas Savienības veiktajā pētījumā tika vērtēta šo iestāžu tehniskā efektivitāte (infrastruktūra un resursi) un aprūpes procesi paliatīvā fāzē. Pētījuma kopumā tika iekļautas tikai sešas Eiropas Savienības valstis [</w:t>
      </w:r>
      <w:r w:rsidRPr="00961866">
        <w:rPr>
          <w:rFonts w:ascii="Times New Roman" w:eastAsia="Calibri" w:hAnsi="Times New Roman" w:cs="Times New Roman"/>
          <w:color w:val="000000"/>
          <w:sz w:val="24"/>
          <w:szCs w:val="24"/>
          <w:lang w:val="lv-LV" w:eastAsia="lv-LV"/>
        </w:rPr>
        <w:t>33].</w:t>
      </w:r>
    </w:p>
    <w:p w14:paraId="66D28FD6" w14:textId="77777777" w:rsidR="00961866" w:rsidRPr="00961866" w:rsidRDefault="00961866" w:rsidP="00961866">
      <w:pPr>
        <w:spacing w:after="240" w:line="240" w:lineRule="auto"/>
        <w:ind w:firstLine="284"/>
        <w:jc w:val="both"/>
        <w:outlineLvl w:val="0"/>
        <w:rPr>
          <w:rFonts w:ascii="Times New Roman" w:eastAsia="Calibri" w:hAnsi="Times New Roman" w:cs="Times New Roman"/>
          <w:bCs/>
          <w:kern w:val="36"/>
          <w:sz w:val="24"/>
          <w:szCs w:val="24"/>
          <w:shd w:val="clear" w:color="auto" w:fill="FFFFFF"/>
          <w:lang w:val="lv-LV" w:eastAsia="lv-LV"/>
        </w:rPr>
      </w:pPr>
      <w:r w:rsidRPr="00961866">
        <w:rPr>
          <w:rFonts w:ascii="Times New Roman" w:eastAsia="Calibri" w:hAnsi="Times New Roman" w:cs="Times New Roman"/>
          <w:bCs/>
          <w:kern w:val="36"/>
          <w:sz w:val="24"/>
          <w:szCs w:val="24"/>
          <w:lang w:val="lv-LV" w:eastAsia="lv-LV"/>
        </w:rPr>
        <w:t xml:space="preserve">Latvijā DEA </w:t>
      </w:r>
      <w:r w:rsidRPr="00961866">
        <w:rPr>
          <w:rFonts w:ascii="Times New Roman" w:eastAsia="Calibri" w:hAnsi="Times New Roman" w:cs="Times New Roman"/>
          <w:bCs/>
          <w:kern w:val="36"/>
          <w:sz w:val="24"/>
          <w:szCs w:val="24"/>
          <w:shd w:val="clear" w:color="auto" w:fill="FFFFFF"/>
          <w:lang w:val="lv-LV" w:eastAsia="lv-LV"/>
        </w:rPr>
        <w:t xml:space="preserve">efektivitātes novērtēšanas metode ir pielietota finanšu un banku sektorā un pensiju pārvaldes fondu izvērtēšanā, kā arī sekundārās veselības aprūpes jomā </w:t>
      </w:r>
      <w:r w:rsidRPr="00961866">
        <w:rPr>
          <w:rFonts w:ascii="Times New Roman" w:eastAsia="Calibri" w:hAnsi="Times New Roman" w:cs="Times New Roman"/>
          <w:bCs/>
          <w:kern w:val="36"/>
          <w:sz w:val="24"/>
          <w:szCs w:val="24"/>
          <w:lang w:val="lv-LV" w:eastAsia="lv-LV"/>
        </w:rPr>
        <w:t>[</w:t>
      </w:r>
      <w:r w:rsidRPr="00961866">
        <w:rPr>
          <w:rFonts w:ascii="Times New Roman" w:eastAsia="Calibri" w:hAnsi="Times New Roman" w:cs="Times New Roman"/>
          <w:bCs/>
          <w:color w:val="000000"/>
          <w:kern w:val="36"/>
          <w:sz w:val="24"/>
          <w:szCs w:val="24"/>
          <w:lang w:val="lv-LV" w:eastAsia="lv-LV"/>
        </w:rPr>
        <w:t>1,14,33,12]</w:t>
      </w:r>
      <w:r w:rsidRPr="00961866">
        <w:rPr>
          <w:rFonts w:ascii="Times New Roman" w:eastAsia="Calibri" w:hAnsi="Times New Roman" w:cs="Times New Roman"/>
          <w:bCs/>
          <w:kern w:val="36"/>
          <w:sz w:val="24"/>
          <w:szCs w:val="24"/>
          <w:shd w:val="clear" w:color="auto" w:fill="FFFFFF"/>
          <w:lang w:val="lv-LV" w:eastAsia="lv-LV"/>
        </w:rPr>
        <w:t xml:space="preserve">. Arefjefs I. un Sloka B. pētījumā skaidro kāpēc mazo un vidējo pensiju fonda pārvaldības uzņēmumi ir salīdzinoši efektīvāki par lielākiem fondiem </w:t>
      </w:r>
      <w:r w:rsidRPr="00961866">
        <w:rPr>
          <w:rFonts w:ascii="Times New Roman" w:eastAsia="Calibri" w:hAnsi="Times New Roman" w:cs="Times New Roman"/>
          <w:bCs/>
          <w:kern w:val="36"/>
          <w:sz w:val="24"/>
          <w:szCs w:val="24"/>
          <w:lang w:val="lv-LV" w:eastAsia="lv-LV"/>
        </w:rPr>
        <w:t>[</w:t>
      </w:r>
      <w:r w:rsidRPr="00961866">
        <w:rPr>
          <w:rFonts w:ascii="Times New Roman" w:eastAsia="Calibri" w:hAnsi="Times New Roman" w:cs="Times New Roman"/>
          <w:bCs/>
          <w:color w:val="000000"/>
          <w:kern w:val="36"/>
          <w:sz w:val="24"/>
          <w:szCs w:val="24"/>
          <w:lang w:val="lv-LV" w:eastAsia="lv-LV"/>
        </w:rPr>
        <w:t>14]</w:t>
      </w:r>
      <w:r w:rsidRPr="00961866">
        <w:rPr>
          <w:rFonts w:ascii="Times New Roman" w:eastAsia="Calibri" w:hAnsi="Times New Roman" w:cs="Times New Roman"/>
          <w:bCs/>
          <w:kern w:val="36"/>
          <w:sz w:val="24"/>
          <w:szCs w:val="24"/>
          <w:shd w:val="clear" w:color="auto" w:fill="FFFFFF"/>
          <w:lang w:val="lv-LV" w:eastAsia="lv-LV"/>
        </w:rPr>
        <w:t xml:space="preserve">. Kas attiecas uz veselības aprūpes jomu, tad Veselības ministrijas diskusiju dokumentā, izmantojot DEA, ir parādīta efektivitāte dažādās slimnīcu grupās un izanalizēti iemesli kāpēc pastāv atšķirīga efektivitāte starp vienāda līmeņa slimnīcām </w:t>
      </w:r>
      <w:r w:rsidRPr="00961866">
        <w:rPr>
          <w:rFonts w:ascii="Times New Roman" w:eastAsia="Calibri" w:hAnsi="Times New Roman" w:cs="Times New Roman"/>
          <w:bCs/>
          <w:kern w:val="36"/>
          <w:sz w:val="24"/>
          <w:szCs w:val="24"/>
          <w:lang w:val="lv-LV" w:eastAsia="lv-LV"/>
        </w:rPr>
        <w:t>[</w:t>
      </w:r>
      <w:r w:rsidRPr="00961866">
        <w:rPr>
          <w:rFonts w:ascii="Times New Roman" w:eastAsia="Calibri" w:hAnsi="Times New Roman" w:cs="Times New Roman"/>
          <w:bCs/>
          <w:color w:val="000000"/>
          <w:kern w:val="36"/>
          <w:sz w:val="24"/>
          <w:szCs w:val="24"/>
          <w:lang w:val="lv-LV" w:eastAsia="lv-LV"/>
        </w:rPr>
        <w:t>12].</w:t>
      </w:r>
    </w:p>
    <w:p w14:paraId="36E4E819" w14:textId="69E96F7A" w:rsidR="00961866" w:rsidRPr="00961866" w:rsidRDefault="003368D2" w:rsidP="00961866">
      <w:pPr>
        <w:spacing w:after="0" w:line="240" w:lineRule="auto"/>
        <w:ind w:firstLine="284"/>
        <w:jc w:val="center"/>
        <w:rPr>
          <w:rFonts w:ascii="Times New Roman" w:eastAsia="Calibri" w:hAnsi="Times New Roman" w:cs="Times New Roman"/>
          <w:b/>
          <w:sz w:val="24"/>
          <w:szCs w:val="24"/>
          <w:lang w:val="lv-LV" w:eastAsia="lv-LV"/>
        </w:rPr>
      </w:pPr>
      <w:r>
        <w:rPr>
          <w:rFonts w:ascii="Times New Roman" w:eastAsia="Calibri" w:hAnsi="Times New Roman" w:cs="Times New Roman"/>
          <w:b/>
          <w:sz w:val="24"/>
          <w:szCs w:val="24"/>
          <w:lang w:val="lv-LV" w:eastAsia="lv-LV"/>
        </w:rPr>
        <w:t>KOPSAVILKUMS.</w:t>
      </w:r>
      <w:r w:rsidR="00961866" w:rsidRPr="00961866">
        <w:rPr>
          <w:rFonts w:ascii="Times New Roman" w:eastAsia="Calibri" w:hAnsi="Times New Roman" w:cs="Times New Roman"/>
          <w:b/>
          <w:sz w:val="24"/>
          <w:szCs w:val="24"/>
          <w:lang w:val="lv-LV" w:eastAsia="lv-LV"/>
        </w:rPr>
        <w:t xml:space="preserve"> CONCLUSION</w:t>
      </w:r>
    </w:p>
    <w:p w14:paraId="06A8DB61" w14:textId="77777777" w:rsidR="00961866" w:rsidRPr="00961866" w:rsidRDefault="00961866" w:rsidP="00961866">
      <w:pPr>
        <w:spacing w:after="0" w:line="240" w:lineRule="auto"/>
        <w:ind w:firstLine="284"/>
        <w:jc w:val="both"/>
        <w:rPr>
          <w:rFonts w:ascii="Times New Roman" w:eastAsia="Calibri" w:hAnsi="Times New Roman" w:cs="Times New Roman"/>
          <w:color w:val="000000"/>
          <w:sz w:val="24"/>
          <w:szCs w:val="24"/>
          <w:shd w:val="clear" w:color="auto" w:fill="FFFFFF"/>
          <w:lang w:val="lv-LV" w:eastAsia="lv-LV"/>
        </w:rPr>
      </w:pPr>
      <w:r w:rsidRPr="00961866">
        <w:rPr>
          <w:rFonts w:ascii="Times New Roman" w:eastAsia="Calibri" w:hAnsi="Times New Roman" w:cs="Times New Roman"/>
          <w:sz w:val="24"/>
          <w:szCs w:val="24"/>
          <w:lang w:val="lv-LV" w:eastAsia="lv-LV"/>
        </w:rPr>
        <w:t xml:space="preserve"> </w:t>
      </w:r>
      <w:r w:rsidRPr="00961866">
        <w:rPr>
          <w:rFonts w:ascii="Times New Roman" w:eastAsia="Calibri" w:hAnsi="Times New Roman" w:cs="Times New Roman"/>
          <w:sz w:val="24"/>
          <w:szCs w:val="24"/>
          <w:shd w:val="clear" w:color="auto" w:fill="FFFFFF"/>
          <w:lang w:val="lv-LV" w:eastAsia="lv-LV"/>
        </w:rPr>
        <w:t xml:space="preserve">Labklājības jomā efektivitāte izmantojot zinātniskās metodes nav pētīta, pat neskatoties uz faktu, ka šai jomai ir piešķirts vislielākais finansējums no visām tautsaimniecības nozarēm </w:t>
      </w:r>
      <w:r w:rsidRPr="00961866">
        <w:rPr>
          <w:rFonts w:ascii="Times New Roman" w:eastAsia="Calibri" w:hAnsi="Times New Roman" w:cs="Times New Roman"/>
          <w:sz w:val="24"/>
          <w:szCs w:val="24"/>
          <w:lang w:val="lv-LV" w:eastAsia="lv-LV"/>
        </w:rPr>
        <w:t>[</w:t>
      </w:r>
      <w:r w:rsidRPr="00961866">
        <w:rPr>
          <w:rFonts w:ascii="Times New Roman" w:eastAsia="Calibri" w:hAnsi="Times New Roman" w:cs="Times New Roman"/>
          <w:color w:val="000000"/>
          <w:sz w:val="24"/>
          <w:szCs w:val="24"/>
          <w:lang w:val="lv-LV" w:eastAsia="lv-LV"/>
        </w:rPr>
        <w:t>5]</w:t>
      </w:r>
      <w:r w:rsidRPr="00961866">
        <w:rPr>
          <w:rFonts w:ascii="Times New Roman" w:eastAsia="Calibri" w:hAnsi="Times New Roman" w:cs="Times New Roman"/>
          <w:color w:val="000000"/>
          <w:sz w:val="24"/>
          <w:szCs w:val="24"/>
          <w:shd w:val="clear" w:color="auto" w:fill="FFFFFF"/>
          <w:lang w:val="lv-LV" w:eastAsia="lv-LV"/>
        </w:rPr>
        <w:t>.</w:t>
      </w:r>
    </w:p>
    <w:p w14:paraId="16F4D8FB" w14:textId="77777777" w:rsidR="00961866" w:rsidRDefault="00961866" w:rsidP="00961866">
      <w:pPr>
        <w:spacing w:after="0" w:line="240" w:lineRule="auto"/>
        <w:ind w:firstLine="284"/>
        <w:jc w:val="both"/>
        <w:rPr>
          <w:rFonts w:ascii="Times New Roman" w:eastAsia="Calibri" w:hAnsi="Times New Roman" w:cs="Times New Roman"/>
          <w:color w:val="000000"/>
          <w:sz w:val="24"/>
          <w:szCs w:val="24"/>
          <w:shd w:val="clear" w:color="auto" w:fill="FFFFFF"/>
          <w:lang w:val="lv-LV" w:eastAsia="lv-LV"/>
        </w:rPr>
      </w:pPr>
      <w:r w:rsidRPr="00961866">
        <w:rPr>
          <w:rFonts w:ascii="Times New Roman" w:eastAsia="Calibri" w:hAnsi="Times New Roman" w:cs="Times New Roman"/>
          <w:color w:val="000000"/>
          <w:sz w:val="24"/>
          <w:szCs w:val="24"/>
          <w:shd w:val="clear" w:color="auto" w:fill="FFFFFF"/>
          <w:lang w:val="lv-LV" w:eastAsia="lv-LV"/>
        </w:rPr>
        <w:t>Ņemot vērā jau iepriekš minētās demogrāfijas tendences un piešķirto finanšu līdzekļu labklājības jomai, būtu nepieciešams apzināt cik efektīvi tiek izlietoti šie līdzekļi, veltot uzmanību institūcijām, kuras nodrošina sociālos pakalpojumus un veicot pētījumu izmantojot iepriekš aprakstītās pētniecības metodes.</w:t>
      </w:r>
    </w:p>
    <w:p w14:paraId="3B6689EA" w14:textId="77777777" w:rsidR="00FE403A" w:rsidRPr="00961866" w:rsidRDefault="00FE403A" w:rsidP="00961866">
      <w:pPr>
        <w:spacing w:after="0" w:line="240" w:lineRule="auto"/>
        <w:ind w:firstLine="284"/>
        <w:jc w:val="both"/>
        <w:rPr>
          <w:rFonts w:ascii="Times New Roman" w:eastAsia="Calibri" w:hAnsi="Times New Roman" w:cs="Times New Roman"/>
          <w:color w:val="000000"/>
          <w:sz w:val="24"/>
          <w:szCs w:val="24"/>
          <w:shd w:val="clear" w:color="auto" w:fill="FFFFFF"/>
          <w:lang w:val="lv-LV" w:eastAsia="lv-LV"/>
        </w:rPr>
      </w:pPr>
    </w:p>
    <w:p w14:paraId="4A34C643" w14:textId="77777777" w:rsidR="00961866" w:rsidRPr="00961866" w:rsidRDefault="00961866" w:rsidP="00961866">
      <w:pPr>
        <w:spacing w:after="0" w:line="240" w:lineRule="auto"/>
        <w:jc w:val="both"/>
        <w:rPr>
          <w:rFonts w:ascii="Times New Roman" w:eastAsia="Calibri" w:hAnsi="Times New Roman" w:cs="Times New Roman"/>
          <w:color w:val="000000"/>
          <w:sz w:val="18"/>
          <w:szCs w:val="18"/>
          <w:shd w:val="clear" w:color="auto" w:fill="FFFFFF"/>
          <w:lang w:val="lv-LV" w:eastAsia="lv-LV"/>
        </w:rPr>
      </w:pPr>
    </w:p>
    <w:p w14:paraId="5FAD33DC" w14:textId="19135592" w:rsidR="00961866" w:rsidRPr="00961866" w:rsidRDefault="00FE403A" w:rsidP="00961866">
      <w:pPr>
        <w:spacing w:after="0" w:line="240" w:lineRule="auto"/>
        <w:ind w:firstLine="284"/>
        <w:jc w:val="center"/>
        <w:rPr>
          <w:rFonts w:ascii="Times New Roman" w:eastAsia="Calibri" w:hAnsi="Times New Roman" w:cs="Times New Roman"/>
          <w:b/>
          <w:color w:val="000000"/>
          <w:sz w:val="20"/>
          <w:szCs w:val="20"/>
          <w:shd w:val="clear" w:color="auto" w:fill="FFFFFF"/>
          <w:lang w:val="lv-LV" w:eastAsia="lv-LV"/>
        </w:rPr>
      </w:pPr>
      <w:r>
        <w:rPr>
          <w:rFonts w:ascii="Times New Roman" w:eastAsia="Calibri" w:hAnsi="Times New Roman" w:cs="Times New Roman"/>
          <w:b/>
          <w:color w:val="000000"/>
          <w:sz w:val="20"/>
          <w:szCs w:val="20"/>
          <w:shd w:val="clear" w:color="auto" w:fill="FFFFFF"/>
          <w:lang w:val="lv-LV" w:eastAsia="lv-LV"/>
        </w:rPr>
        <w:lastRenderedPageBreak/>
        <w:t>LITERATŪRAS UN AVOTU SARAKSTS</w:t>
      </w:r>
      <w:r w:rsidR="007F2C9C">
        <w:rPr>
          <w:rFonts w:ascii="Times New Roman" w:eastAsia="Calibri" w:hAnsi="Times New Roman" w:cs="Times New Roman"/>
          <w:b/>
          <w:color w:val="000000"/>
          <w:sz w:val="20"/>
          <w:szCs w:val="20"/>
          <w:shd w:val="clear" w:color="auto" w:fill="FFFFFF"/>
          <w:lang w:val="lv-LV" w:eastAsia="lv-LV"/>
        </w:rPr>
        <w:t>.</w:t>
      </w:r>
      <w:r w:rsidR="00961866" w:rsidRPr="00961866">
        <w:rPr>
          <w:rFonts w:ascii="Times New Roman" w:eastAsia="Calibri" w:hAnsi="Times New Roman" w:cs="Times New Roman"/>
          <w:b/>
          <w:color w:val="000000"/>
          <w:sz w:val="20"/>
          <w:szCs w:val="20"/>
          <w:shd w:val="clear" w:color="auto" w:fill="FFFFFF"/>
          <w:lang w:val="lv-LV" w:eastAsia="lv-LV"/>
        </w:rPr>
        <w:t xml:space="preserve"> REFERENCES </w:t>
      </w:r>
    </w:p>
    <w:p w14:paraId="12AB7889" w14:textId="77777777" w:rsidR="00961866" w:rsidRPr="00961866" w:rsidRDefault="00961866" w:rsidP="00961866">
      <w:pPr>
        <w:numPr>
          <w:ilvl w:val="0"/>
          <w:numId w:val="4"/>
        </w:numPr>
        <w:spacing w:after="200" w:line="276" w:lineRule="auto"/>
        <w:contextualSpacing/>
        <w:rPr>
          <w:rFonts w:ascii="Times New Roman" w:eastAsia="Calibri" w:hAnsi="Times New Roman" w:cs="Times New Roman"/>
          <w:sz w:val="20"/>
          <w:szCs w:val="20"/>
          <w:lang w:val="lv-LV" w:eastAsia="lv-LV"/>
        </w:rPr>
      </w:pPr>
      <w:r w:rsidRPr="00961866">
        <w:rPr>
          <w:rFonts w:ascii="Times New Roman" w:eastAsia="Calibri" w:hAnsi="Times New Roman" w:cs="Times New Roman"/>
          <w:sz w:val="20"/>
          <w:szCs w:val="20"/>
          <w:lang w:val="lv-LV" w:eastAsia="lv-LV"/>
        </w:rPr>
        <w:t xml:space="preserve">Arefjevs, I. (2017). </w:t>
      </w:r>
      <w:r w:rsidRPr="00961866">
        <w:rPr>
          <w:rFonts w:ascii="Times New Roman" w:eastAsia="Calibri" w:hAnsi="Times New Roman" w:cs="Times New Roman"/>
          <w:i/>
          <w:sz w:val="20"/>
          <w:szCs w:val="20"/>
          <w:lang w:val="lv-LV" w:eastAsia="lv-LV"/>
        </w:rPr>
        <w:t>Daudzposmu pieeja finanšu uzņēmumu efektivitātes novērtēšanā</w:t>
      </w:r>
      <w:r w:rsidRPr="00961866">
        <w:rPr>
          <w:rFonts w:ascii="Times New Roman" w:eastAsia="Calibri" w:hAnsi="Times New Roman" w:cs="Times New Roman"/>
          <w:sz w:val="20"/>
          <w:szCs w:val="20"/>
          <w:lang w:val="lv-LV" w:eastAsia="lv-LV"/>
        </w:rPr>
        <w:t xml:space="preserve"> (Ph.D.). Banku augstskola.</w:t>
      </w:r>
    </w:p>
    <w:p w14:paraId="573BCBAD" w14:textId="24B7ED30" w:rsidR="00961866" w:rsidRPr="00961866" w:rsidRDefault="00816933" w:rsidP="00961866">
      <w:pPr>
        <w:numPr>
          <w:ilvl w:val="0"/>
          <w:numId w:val="4"/>
        </w:numPr>
        <w:spacing w:after="200" w:line="276" w:lineRule="auto"/>
        <w:contextualSpacing/>
        <w:rPr>
          <w:rFonts w:ascii="Times New Roman" w:eastAsia="Calibri" w:hAnsi="Times New Roman" w:cs="Times New Roman"/>
          <w:sz w:val="20"/>
          <w:szCs w:val="20"/>
          <w:lang w:val="lv-LV" w:eastAsia="lv-LV"/>
        </w:rPr>
      </w:pPr>
      <w:r>
        <w:rPr>
          <w:rFonts w:ascii="Times New Roman" w:eastAsia="Calibri" w:hAnsi="Times New Roman" w:cs="Times New Roman"/>
          <w:sz w:val="20"/>
          <w:szCs w:val="20"/>
          <w:lang w:val="lv-LV" w:eastAsia="lv-LV"/>
        </w:rPr>
        <w:t>Attīstības plānošana Latvijā</w:t>
      </w:r>
      <w:r w:rsidR="00961866" w:rsidRPr="00961866">
        <w:rPr>
          <w:rFonts w:ascii="Times New Roman" w:eastAsia="Calibri" w:hAnsi="Times New Roman" w:cs="Times New Roman"/>
          <w:sz w:val="20"/>
          <w:szCs w:val="20"/>
          <w:lang w:val="lv-LV" w:eastAsia="lv-LV"/>
        </w:rPr>
        <w:t xml:space="preserve">, Pārresoru koordinācijas centrs. (2018). Retrieved from </w:t>
      </w:r>
      <w:hyperlink r:id="rId22" w:history="1">
        <w:r w:rsidR="00961866" w:rsidRPr="00816933">
          <w:rPr>
            <w:rFonts w:ascii="Times New Roman" w:eastAsia="Calibri" w:hAnsi="Times New Roman" w:cs="Times New Roman"/>
            <w:color w:val="0563C1"/>
            <w:sz w:val="20"/>
            <w:szCs w:val="20"/>
            <w:u w:val="single"/>
            <w:lang w:val="lv-LV" w:eastAsia="lv-LV"/>
          </w:rPr>
          <w:t>https://www.pkc.gov.lv/lv/valsts-attistibas-planosana/attistibas-planosana-latvija</w:t>
        </w:r>
      </w:hyperlink>
    </w:p>
    <w:sectPr w:rsidR="00961866" w:rsidRPr="00961866" w:rsidSect="00961866">
      <w:pgSz w:w="12240" w:h="15840"/>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D892" w14:textId="77777777" w:rsidR="000256DA" w:rsidRDefault="000256DA" w:rsidP="00C9274C">
      <w:pPr>
        <w:spacing w:after="0" w:line="240" w:lineRule="auto"/>
      </w:pPr>
      <w:r>
        <w:separator/>
      </w:r>
    </w:p>
  </w:endnote>
  <w:endnote w:type="continuationSeparator" w:id="0">
    <w:p w14:paraId="357DE512" w14:textId="77777777" w:rsidR="000256DA" w:rsidRDefault="000256DA" w:rsidP="00C9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97D9" w14:textId="77777777" w:rsidR="000256DA" w:rsidRDefault="000256DA" w:rsidP="00C9274C">
      <w:pPr>
        <w:spacing w:after="0" w:line="240" w:lineRule="auto"/>
      </w:pPr>
      <w:r>
        <w:separator/>
      </w:r>
    </w:p>
  </w:footnote>
  <w:footnote w:type="continuationSeparator" w:id="0">
    <w:p w14:paraId="44FB3971" w14:textId="77777777" w:rsidR="000256DA" w:rsidRDefault="000256DA" w:rsidP="00C92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F10D0"/>
    <w:multiLevelType w:val="hybridMultilevel"/>
    <w:tmpl w:val="F9A4A85A"/>
    <w:lvl w:ilvl="0" w:tplc="26029500">
      <w:start w:val="1"/>
      <w:numFmt w:val="bullet"/>
      <w:lvlText w:val=""/>
      <w:lvlJc w:val="left"/>
      <w:pPr>
        <w:ind w:left="1426" w:hanging="360"/>
      </w:pPr>
      <w:rPr>
        <w:rFonts w:ascii="Symbol" w:hAnsi="Symbol" w:hint="default"/>
        <w:color w:val="7030A0"/>
      </w:rPr>
    </w:lvl>
    <w:lvl w:ilvl="1" w:tplc="04090003">
      <w:start w:val="1"/>
      <w:numFmt w:val="bullet"/>
      <w:lvlText w:val="o"/>
      <w:lvlJc w:val="left"/>
      <w:pPr>
        <w:ind w:left="2146" w:hanging="360"/>
      </w:pPr>
      <w:rPr>
        <w:rFonts w:ascii="Courier New" w:hAnsi="Courier New" w:cs="Courier New" w:hint="default"/>
      </w:rPr>
    </w:lvl>
    <w:lvl w:ilvl="2" w:tplc="04090005">
      <w:start w:val="1"/>
      <w:numFmt w:val="bullet"/>
      <w:lvlText w:val=""/>
      <w:lvlJc w:val="left"/>
      <w:pPr>
        <w:ind w:left="2866" w:hanging="360"/>
      </w:pPr>
      <w:rPr>
        <w:rFonts w:ascii="Wingdings" w:hAnsi="Wingdings" w:hint="default"/>
      </w:rPr>
    </w:lvl>
    <w:lvl w:ilvl="3" w:tplc="04090001">
      <w:start w:val="1"/>
      <w:numFmt w:val="bullet"/>
      <w:lvlText w:val=""/>
      <w:lvlJc w:val="left"/>
      <w:pPr>
        <w:ind w:left="3586" w:hanging="360"/>
      </w:pPr>
      <w:rPr>
        <w:rFonts w:ascii="Symbol" w:hAnsi="Symbol" w:hint="default"/>
      </w:rPr>
    </w:lvl>
    <w:lvl w:ilvl="4" w:tplc="04090003">
      <w:start w:val="1"/>
      <w:numFmt w:val="bullet"/>
      <w:lvlText w:val="o"/>
      <w:lvlJc w:val="left"/>
      <w:pPr>
        <w:ind w:left="4306" w:hanging="360"/>
      </w:pPr>
      <w:rPr>
        <w:rFonts w:ascii="Courier New" w:hAnsi="Courier New" w:cs="Courier New" w:hint="default"/>
      </w:rPr>
    </w:lvl>
    <w:lvl w:ilvl="5" w:tplc="04090005">
      <w:start w:val="1"/>
      <w:numFmt w:val="bullet"/>
      <w:lvlText w:val=""/>
      <w:lvlJc w:val="left"/>
      <w:pPr>
        <w:ind w:left="5026" w:hanging="360"/>
      </w:pPr>
      <w:rPr>
        <w:rFonts w:ascii="Wingdings" w:hAnsi="Wingdings" w:hint="default"/>
      </w:rPr>
    </w:lvl>
    <w:lvl w:ilvl="6" w:tplc="04090001">
      <w:start w:val="1"/>
      <w:numFmt w:val="bullet"/>
      <w:lvlText w:val=""/>
      <w:lvlJc w:val="left"/>
      <w:pPr>
        <w:ind w:left="5746" w:hanging="360"/>
      </w:pPr>
      <w:rPr>
        <w:rFonts w:ascii="Symbol" w:hAnsi="Symbol" w:hint="default"/>
      </w:rPr>
    </w:lvl>
    <w:lvl w:ilvl="7" w:tplc="04090003">
      <w:start w:val="1"/>
      <w:numFmt w:val="bullet"/>
      <w:lvlText w:val="o"/>
      <w:lvlJc w:val="left"/>
      <w:pPr>
        <w:ind w:left="6466" w:hanging="360"/>
      </w:pPr>
      <w:rPr>
        <w:rFonts w:ascii="Courier New" w:hAnsi="Courier New" w:cs="Courier New" w:hint="default"/>
      </w:rPr>
    </w:lvl>
    <w:lvl w:ilvl="8" w:tplc="04090005">
      <w:start w:val="1"/>
      <w:numFmt w:val="bullet"/>
      <w:lvlText w:val=""/>
      <w:lvlJc w:val="left"/>
      <w:pPr>
        <w:ind w:left="7186" w:hanging="360"/>
      </w:pPr>
      <w:rPr>
        <w:rFonts w:ascii="Wingdings" w:hAnsi="Wingdings" w:hint="default"/>
      </w:rPr>
    </w:lvl>
  </w:abstractNum>
  <w:abstractNum w:abstractNumId="1" w15:restartNumberingAfterBreak="0">
    <w:nsid w:val="57D26AC1"/>
    <w:multiLevelType w:val="hybridMultilevel"/>
    <w:tmpl w:val="98347ACA"/>
    <w:lvl w:ilvl="0" w:tplc="30CA358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380849"/>
    <w:multiLevelType w:val="hybridMultilevel"/>
    <w:tmpl w:val="BAD6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32B40"/>
    <w:multiLevelType w:val="hybridMultilevel"/>
    <w:tmpl w:val="3ABA44BC"/>
    <w:lvl w:ilvl="0" w:tplc="8AE4B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AF795D"/>
    <w:multiLevelType w:val="hybridMultilevel"/>
    <w:tmpl w:val="66E61E3E"/>
    <w:lvl w:ilvl="0" w:tplc="30CA358C">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785761D"/>
    <w:multiLevelType w:val="hybridMultilevel"/>
    <w:tmpl w:val="BB8A3F58"/>
    <w:lvl w:ilvl="0" w:tplc="99B05926">
      <w:start w:val="1"/>
      <w:numFmt w:val="decimal"/>
      <w:lvlText w:val="%1."/>
      <w:lvlJc w:val="left"/>
      <w:pPr>
        <w:ind w:left="720" w:hanging="360"/>
      </w:pPr>
      <w:rPr>
        <w:rFonts w:ascii="Times New Roman" w:hAnsi="Times New Roman" w:cs="Times New Roman"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7354472">
    <w:abstractNumId w:val="0"/>
  </w:num>
  <w:num w:numId="2" w16cid:durableId="1807896839">
    <w:abstractNumId w:val="1"/>
  </w:num>
  <w:num w:numId="3" w16cid:durableId="1751003719">
    <w:abstractNumId w:val="4"/>
  </w:num>
  <w:num w:numId="4" w16cid:durableId="912010167">
    <w:abstractNumId w:val="5"/>
  </w:num>
  <w:num w:numId="5" w16cid:durableId="500005660">
    <w:abstractNumId w:val="2"/>
  </w:num>
  <w:num w:numId="6" w16cid:durableId="1554198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45"/>
    <w:rsid w:val="00006263"/>
    <w:rsid w:val="000256DA"/>
    <w:rsid w:val="00034C64"/>
    <w:rsid w:val="00050E69"/>
    <w:rsid w:val="00053415"/>
    <w:rsid w:val="000648C1"/>
    <w:rsid w:val="00086295"/>
    <w:rsid w:val="000D1E39"/>
    <w:rsid w:val="000D662D"/>
    <w:rsid w:val="000E3C79"/>
    <w:rsid w:val="000E5DFF"/>
    <w:rsid w:val="00113253"/>
    <w:rsid w:val="0012788E"/>
    <w:rsid w:val="001320C5"/>
    <w:rsid w:val="00147511"/>
    <w:rsid w:val="001610CA"/>
    <w:rsid w:val="001A0031"/>
    <w:rsid w:val="001D2759"/>
    <w:rsid w:val="001E4B43"/>
    <w:rsid w:val="001F1ED7"/>
    <w:rsid w:val="0024421F"/>
    <w:rsid w:val="002C0497"/>
    <w:rsid w:val="002C7D42"/>
    <w:rsid w:val="002E6BFB"/>
    <w:rsid w:val="002E7D60"/>
    <w:rsid w:val="002F7AF9"/>
    <w:rsid w:val="00327078"/>
    <w:rsid w:val="003368D2"/>
    <w:rsid w:val="003961C5"/>
    <w:rsid w:val="003C3F21"/>
    <w:rsid w:val="00405874"/>
    <w:rsid w:val="00424B7A"/>
    <w:rsid w:val="00424E83"/>
    <w:rsid w:val="0043177C"/>
    <w:rsid w:val="0043569F"/>
    <w:rsid w:val="00447028"/>
    <w:rsid w:val="00455CEF"/>
    <w:rsid w:val="004625D6"/>
    <w:rsid w:val="00463202"/>
    <w:rsid w:val="00486DAC"/>
    <w:rsid w:val="004A3045"/>
    <w:rsid w:val="004C4982"/>
    <w:rsid w:val="004D1E89"/>
    <w:rsid w:val="004D33E4"/>
    <w:rsid w:val="00501A04"/>
    <w:rsid w:val="00501EEE"/>
    <w:rsid w:val="00506E88"/>
    <w:rsid w:val="005174D9"/>
    <w:rsid w:val="00523943"/>
    <w:rsid w:val="005355DA"/>
    <w:rsid w:val="00537E1E"/>
    <w:rsid w:val="00560B24"/>
    <w:rsid w:val="005647A0"/>
    <w:rsid w:val="005C1D69"/>
    <w:rsid w:val="005E0466"/>
    <w:rsid w:val="006951AC"/>
    <w:rsid w:val="006A4E46"/>
    <w:rsid w:val="006B13FA"/>
    <w:rsid w:val="006C4982"/>
    <w:rsid w:val="006D11FE"/>
    <w:rsid w:val="007025B1"/>
    <w:rsid w:val="0072032B"/>
    <w:rsid w:val="00720C07"/>
    <w:rsid w:val="007335F0"/>
    <w:rsid w:val="00747021"/>
    <w:rsid w:val="007866C7"/>
    <w:rsid w:val="007A354E"/>
    <w:rsid w:val="007B363A"/>
    <w:rsid w:val="007C11C1"/>
    <w:rsid w:val="007E76FF"/>
    <w:rsid w:val="007F2C9C"/>
    <w:rsid w:val="007F331A"/>
    <w:rsid w:val="00816933"/>
    <w:rsid w:val="008234BE"/>
    <w:rsid w:val="008641A8"/>
    <w:rsid w:val="00870CB6"/>
    <w:rsid w:val="008D1689"/>
    <w:rsid w:val="008E32F0"/>
    <w:rsid w:val="0094036F"/>
    <w:rsid w:val="009554D0"/>
    <w:rsid w:val="00961866"/>
    <w:rsid w:val="00965DAC"/>
    <w:rsid w:val="00971075"/>
    <w:rsid w:val="00993D6B"/>
    <w:rsid w:val="009B744E"/>
    <w:rsid w:val="009C33DF"/>
    <w:rsid w:val="009E0F47"/>
    <w:rsid w:val="00A92DF4"/>
    <w:rsid w:val="00A97D76"/>
    <w:rsid w:val="00AA41A3"/>
    <w:rsid w:val="00B11234"/>
    <w:rsid w:val="00B16D64"/>
    <w:rsid w:val="00B30B6D"/>
    <w:rsid w:val="00B86F0A"/>
    <w:rsid w:val="00B93772"/>
    <w:rsid w:val="00B95AFB"/>
    <w:rsid w:val="00BB403D"/>
    <w:rsid w:val="00BB67CB"/>
    <w:rsid w:val="00BF721E"/>
    <w:rsid w:val="00BF796B"/>
    <w:rsid w:val="00C331B2"/>
    <w:rsid w:val="00C64CB6"/>
    <w:rsid w:val="00C9274C"/>
    <w:rsid w:val="00CA7BD5"/>
    <w:rsid w:val="00D14F7C"/>
    <w:rsid w:val="00D5496F"/>
    <w:rsid w:val="00D608B2"/>
    <w:rsid w:val="00D763D1"/>
    <w:rsid w:val="00D96EA4"/>
    <w:rsid w:val="00D9795C"/>
    <w:rsid w:val="00DA20FF"/>
    <w:rsid w:val="00DF5A41"/>
    <w:rsid w:val="00DF5C41"/>
    <w:rsid w:val="00DF683D"/>
    <w:rsid w:val="00E30F70"/>
    <w:rsid w:val="00E3464F"/>
    <w:rsid w:val="00ED659A"/>
    <w:rsid w:val="00ED6945"/>
    <w:rsid w:val="00EE4D22"/>
    <w:rsid w:val="00F10312"/>
    <w:rsid w:val="00F110C5"/>
    <w:rsid w:val="00F273F1"/>
    <w:rsid w:val="00FE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711F"/>
  <w15:chartTrackingRefBased/>
  <w15:docId w15:val="{93DCA3DF-724E-4819-BDF1-CFA1ECCA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6945"/>
    <w:rPr>
      <w:color w:val="0000FF"/>
      <w:u w:val="single"/>
    </w:rPr>
  </w:style>
  <w:style w:type="paragraph" w:styleId="a4">
    <w:name w:val="Plain Text"/>
    <w:basedOn w:val="a"/>
    <w:link w:val="a5"/>
    <w:semiHidden/>
    <w:unhideWhenUsed/>
    <w:rsid w:val="00ED6945"/>
    <w:pPr>
      <w:spacing w:after="0" w:line="240" w:lineRule="auto"/>
    </w:pPr>
    <w:rPr>
      <w:rFonts w:ascii="Courier New" w:eastAsia="Times New Roman" w:hAnsi="Courier New" w:cs="Times New Roman"/>
      <w:sz w:val="20"/>
      <w:szCs w:val="20"/>
      <w:lang w:val="ru-RU" w:eastAsia="ru-RU"/>
    </w:rPr>
  </w:style>
  <w:style w:type="character" w:customStyle="1" w:styleId="a5">
    <w:name w:val="Текст Знак"/>
    <w:basedOn w:val="a0"/>
    <w:link w:val="a4"/>
    <w:semiHidden/>
    <w:rsid w:val="00ED6945"/>
    <w:rPr>
      <w:rFonts w:ascii="Courier New" w:eastAsia="Times New Roman" w:hAnsi="Courier New" w:cs="Times New Roman"/>
      <w:sz w:val="20"/>
      <w:szCs w:val="20"/>
      <w:lang w:val="ru-RU" w:eastAsia="ru-RU"/>
    </w:rPr>
  </w:style>
  <w:style w:type="paragraph" w:styleId="a6">
    <w:name w:val="Balloon Text"/>
    <w:basedOn w:val="a"/>
    <w:link w:val="a7"/>
    <w:uiPriority w:val="99"/>
    <w:semiHidden/>
    <w:unhideWhenUsed/>
    <w:rsid w:val="00F103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0312"/>
    <w:rPr>
      <w:rFonts w:ascii="Segoe UI" w:hAnsi="Segoe UI" w:cs="Segoe UI"/>
      <w:sz w:val="18"/>
      <w:szCs w:val="18"/>
    </w:rPr>
  </w:style>
  <w:style w:type="paragraph" w:styleId="a8">
    <w:name w:val="header"/>
    <w:basedOn w:val="a"/>
    <w:link w:val="a9"/>
    <w:uiPriority w:val="99"/>
    <w:unhideWhenUsed/>
    <w:rsid w:val="00C9274C"/>
    <w:pPr>
      <w:tabs>
        <w:tab w:val="center" w:pos="4320"/>
        <w:tab w:val="right" w:pos="8640"/>
      </w:tabs>
      <w:spacing w:after="0" w:line="240" w:lineRule="auto"/>
    </w:pPr>
  </w:style>
  <w:style w:type="character" w:customStyle="1" w:styleId="a9">
    <w:name w:val="Верхний колонтитул Знак"/>
    <w:basedOn w:val="a0"/>
    <w:link w:val="a8"/>
    <w:uiPriority w:val="99"/>
    <w:rsid w:val="00C9274C"/>
  </w:style>
  <w:style w:type="paragraph" w:styleId="aa">
    <w:name w:val="footer"/>
    <w:basedOn w:val="a"/>
    <w:link w:val="ab"/>
    <w:uiPriority w:val="99"/>
    <w:unhideWhenUsed/>
    <w:rsid w:val="00C9274C"/>
    <w:pPr>
      <w:tabs>
        <w:tab w:val="center" w:pos="4320"/>
        <w:tab w:val="right" w:pos="8640"/>
      </w:tabs>
      <w:spacing w:after="0" w:line="240" w:lineRule="auto"/>
    </w:pPr>
  </w:style>
  <w:style w:type="character" w:customStyle="1" w:styleId="ab">
    <w:name w:val="Нижний колонтитул Знак"/>
    <w:basedOn w:val="a0"/>
    <w:link w:val="aa"/>
    <w:uiPriority w:val="99"/>
    <w:rsid w:val="00C9274C"/>
  </w:style>
  <w:style w:type="paragraph" w:styleId="ac">
    <w:name w:val="List Paragraph"/>
    <w:basedOn w:val="a"/>
    <w:uiPriority w:val="34"/>
    <w:qFormat/>
    <w:rsid w:val="009B744E"/>
    <w:pPr>
      <w:ind w:left="720"/>
      <w:contextualSpacing/>
    </w:pPr>
  </w:style>
  <w:style w:type="table" w:styleId="ad">
    <w:name w:val="Table Grid"/>
    <w:basedOn w:val="a1"/>
    <w:uiPriority w:val="39"/>
    <w:rsid w:val="0087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0626">
      <w:bodyDiv w:val="1"/>
      <w:marLeft w:val="0"/>
      <w:marRight w:val="0"/>
      <w:marTop w:val="0"/>
      <w:marBottom w:val="0"/>
      <w:divBdr>
        <w:top w:val="none" w:sz="0" w:space="0" w:color="auto"/>
        <w:left w:val="none" w:sz="0" w:space="0" w:color="auto"/>
        <w:bottom w:val="none" w:sz="0" w:space="0" w:color="auto"/>
        <w:right w:val="none" w:sz="0" w:space="0" w:color="auto"/>
      </w:divBdr>
    </w:div>
    <w:div w:id="9998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free.bsa.edu.lv/"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vladislavs.volkovs@bsa.edu.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free.bsa.edu.lv/"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pkc.gov.lv/lv/valsts-attistibas-planosana/attistibas-planosana-latv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2615</Words>
  <Characters>14909</Characters>
  <Application>Microsoft Office Word</Application>
  <DocSecurity>0</DocSecurity>
  <Lines>124</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myship@inbox.lv</dc:creator>
  <cp:keywords/>
  <dc:description/>
  <cp:lastModifiedBy>Мария Ткачукова</cp:lastModifiedBy>
  <cp:revision>3</cp:revision>
  <cp:lastPrinted>2022-10-05T09:49:00Z</cp:lastPrinted>
  <dcterms:created xsi:type="dcterms:W3CDTF">2022-11-04T18:10:00Z</dcterms:created>
  <dcterms:modified xsi:type="dcterms:W3CDTF">2022-11-04T18:11:00Z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d45251aa529cdb5a59417e7edbc50587129268f14d847dd4f7d59c5660f37c85</vt:lpwstr>
  </property>
</Properties>
</file>